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0F6" w:rsidRPr="005A5AB1" w:rsidRDefault="007D4BB2" w:rsidP="00B069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Drug E</w:t>
      </w:r>
      <w:r w:rsidR="00C11C8D">
        <w:rPr>
          <w:rFonts w:ascii="Times New Roman" w:hAnsi="Times New Roman" w:cs="Times New Roman"/>
          <w:b/>
          <w:sz w:val="24"/>
          <w:u w:val="single"/>
        </w:rPr>
        <w:t>nforcement Administration (</w:t>
      </w:r>
      <w:r w:rsidR="00905C9C" w:rsidRPr="005A5AB1">
        <w:rPr>
          <w:rFonts w:ascii="Times New Roman" w:hAnsi="Times New Roman" w:cs="Times New Roman"/>
          <w:b/>
          <w:sz w:val="24"/>
          <w:u w:val="single"/>
        </w:rPr>
        <w:t>DEA</w:t>
      </w:r>
      <w:r w:rsidR="00C11C8D">
        <w:rPr>
          <w:rFonts w:ascii="Times New Roman" w:hAnsi="Times New Roman" w:cs="Times New Roman"/>
          <w:b/>
          <w:sz w:val="24"/>
          <w:u w:val="single"/>
        </w:rPr>
        <w:t>)</w:t>
      </w:r>
      <w:r w:rsidR="00905C9C" w:rsidRPr="005A5AB1">
        <w:rPr>
          <w:rFonts w:ascii="Times New Roman" w:hAnsi="Times New Roman" w:cs="Times New Roman"/>
          <w:b/>
          <w:sz w:val="24"/>
          <w:u w:val="single"/>
        </w:rPr>
        <w:t xml:space="preserve"> FAQ’s</w:t>
      </w:r>
    </w:p>
    <w:p w:rsidR="00B06942" w:rsidRDefault="00B06942" w:rsidP="00B06942">
      <w:pPr>
        <w:spacing w:line="240" w:lineRule="auto"/>
        <w:contextualSpacing/>
        <w:rPr>
          <w:rFonts w:ascii="Times New Roman" w:hAnsi="Times New Roman" w:cs="Times New Roman"/>
          <w:b/>
          <w:sz w:val="12"/>
          <w:u w:val="single"/>
        </w:rPr>
      </w:pPr>
    </w:p>
    <w:p w:rsidR="00B06942" w:rsidRDefault="00905C9C" w:rsidP="00B06942">
      <w:pPr>
        <w:spacing w:line="240" w:lineRule="auto"/>
        <w:contextualSpacing/>
        <w:rPr>
          <w:rFonts w:ascii="Times New Roman" w:hAnsi="Times New Roman" w:cs="Times New Roman"/>
        </w:rPr>
      </w:pPr>
      <w:r w:rsidRPr="00A703FC">
        <w:rPr>
          <w:rFonts w:ascii="Times New Roman" w:hAnsi="Times New Roman" w:cs="Times New Roman"/>
          <w:b/>
          <w:i/>
        </w:rPr>
        <w:t xml:space="preserve">What </w:t>
      </w:r>
      <w:r w:rsidR="002335DE" w:rsidRPr="00A703FC">
        <w:rPr>
          <w:rFonts w:ascii="Times New Roman" w:hAnsi="Times New Roman" w:cs="Times New Roman"/>
          <w:b/>
          <w:i/>
        </w:rPr>
        <w:t>should</w:t>
      </w:r>
      <w:r w:rsidRPr="00A703FC">
        <w:rPr>
          <w:rFonts w:ascii="Times New Roman" w:hAnsi="Times New Roman" w:cs="Times New Roman"/>
          <w:b/>
          <w:i/>
        </w:rPr>
        <w:t xml:space="preserve"> I do with </w:t>
      </w:r>
      <w:r w:rsidRPr="00A703FC">
        <w:rPr>
          <w:rFonts w:ascii="Times New Roman" w:hAnsi="Times New Roman" w:cs="Times New Roman"/>
          <w:b/>
          <w:i/>
          <w:u w:val="single"/>
        </w:rPr>
        <w:t>emp</w:t>
      </w:r>
      <w:r w:rsidR="001B6C02" w:rsidRPr="00A703FC">
        <w:rPr>
          <w:rFonts w:ascii="Times New Roman" w:hAnsi="Times New Roman" w:cs="Times New Roman"/>
          <w:b/>
          <w:i/>
          <w:u w:val="single"/>
        </w:rPr>
        <w:t xml:space="preserve">ty </w:t>
      </w:r>
      <w:r w:rsidR="001B6C02" w:rsidRPr="00A703FC">
        <w:rPr>
          <w:rFonts w:ascii="Times New Roman" w:hAnsi="Times New Roman" w:cs="Times New Roman"/>
          <w:b/>
          <w:i/>
        </w:rPr>
        <w:t xml:space="preserve">controlled substance </w:t>
      </w:r>
      <w:r w:rsidR="00C11C8D">
        <w:rPr>
          <w:rFonts w:ascii="Times New Roman" w:hAnsi="Times New Roman" w:cs="Times New Roman"/>
          <w:b/>
          <w:i/>
        </w:rPr>
        <w:t xml:space="preserve">(CS) </w:t>
      </w:r>
      <w:r w:rsidR="001B6C02" w:rsidRPr="00A703FC">
        <w:rPr>
          <w:rFonts w:ascii="Times New Roman" w:hAnsi="Times New Roman" w:cs="Times New Roman"/>
          <w:b/>
          <w:i/>
        </w:rPr>
        <w:t>bottles?</w:t>
      </w:r>
      <w:r w:rsidRPr="00A703FC">
        <w:rPr>
          <w:rFonts w:ascii="Times New Roman" w:hAnsi="Times New Roman" w:cs="Times New Roman"/>
        </w:rPr>
        <w:t xml:space="preserve"> </w:t>
      </w:r>
    </w:p>
    <w:p w:rsidR="00A703FC" w:rsidRPr="00B06942" w:rsidRDefault="002335DE" w:rsidP="00B069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06942">
        <w:rPr>
          <w:rFonts w:ascii="Times New Roman" w:hAnsi="Times New Roman" w:cs="Times New Roman"/>
        </w:rPr>
        <w:t>As long as the bottle is truly empty and your log sheet clear</w:t>
      </w:r>
      <w:r w:rsidR="00C11C8D" w:rsidRPr="00B06942">
        <w:rPr>
          <w:rFonts w:ascii="Times New Roman" w:hAnsi="Times New Roman" w:cs="Times New Roman"/>
        </w:rPr>
        <w:t>ly reflects a “0” (zero) balance</w:t>
      </w:r>
      <w:r w:rsidRPr="00B06942">
        <w:rPr>
          <w:rFonts w:ascii="Times New Roman" w:hAnsi="Times New Roman" w:cs="Times New Roman"/>
        </w:rPr>
        <w:t>, t</w:t>
      </w:r>
      <w:r w:rsidR="00B06942">
        <w:rPr>
          <w:rFonts w:ascii="Times New Roman" w:hAnsi="Times New Roman" w:cs="Times New Roman"/>
        </w:rPr>
        <w:t xml:space="preserve">hese can be </w:t>
      </w:r>
      <w:r w:rsidR="00905C9C" w:rsidRPr="00B06942">
        <w:rPr>
          <w:rFonts w:ascii="Times New Roman" w:hAnsi="Times New Roman" w:cs="Times New Roman"/>
        </w:rPr>
        <w:t xml:space="preserve">disposed of in </w:t>
      </w:r>
      <w:r w:rsidR="001B6C02" w:rsidRPr="00B06942">
        <w:rPr>
          <w:rFonts w:ascii="Times New Roman" w:hAnsi="Times New Roman" w:cs="Times New Roman"/>
        </w:rPr>
        <w:t>a sharps container as glass</w:t>
      </w:r>
      <w:r w:rsidR="00905C9C" w:rsidRPr="00B06942">
        <w:rPr>
          <w:rFonts w:ascii="Times New Roman" w:hAnsi="Times New Roman" w:cs="Times New Roman"/>
        </w:rPr>
        <w:t>.</w:t>
      </w:r>
      <w:r w:rsidRPr="00B06942">
        <w:rPr>
          <w:rFonts w:ascii="Times New Roman" w:hAnsi="Times New Roman" w:cs="Times New Roman"/>
        </w:rPr>
        <w:t xml:space="preserve"> </w:t>
      </w:r>
    </w:p>
    <w:p w:rsidR="00B06942" w:rsidRDefault="002335DE" w:rsidP="00B06942">
      <w:pPr>
        <w:spacing w:line="240" w:lineRule="auto"/>
        <w:contextualSpacing/>
        <w:rPr>
          <w:rFonts w:ascii="Times New Roman" w:hAnsi="Times New Roman" w:cs="Times New Roman"/>
        </w:rPr>
      </w:pPr>
      <w:r w:rsidRPr="00A703FC">
        <w:rPr>
          <w:rFonts w:ascii="Times New Roman" w:hAnsi="Times New Roman" w:cs="Times New Roman"/>
        </w:rPr>
        <w:t xml:space="preserve"> </w:t>
      </w:r>
      <w:r w:rsidR="00905C9C" w:rsidRPr="00A703FC">
        <w:rPr>
          <w:rFonts w:ascii="Times New Roman" w:hAnsi="Times New Roman" w:cs="Times New Roman"/>
          <w:b/>
          <w:i/>
        </w:rPr>
        <w:t xml:space="preserve">I am a PI </w:t>
      </w:r>
      <w:r w:rsidRPr="00A703FC">
        <w:rPr>
          <w:rFonts w:ascii="Times New Roman" w:hAnsi="Times New Roman" w:cs="Times New Roman"/>
          <w:b/>
          <w:i/>
        </w:rPr>
        <w:t>with a valid DEA license</w:t>
      </w:r>
      <w:r w:rsidR="007D4BB2">
        <w:rPr>
          <w:rFonts w:ascii="Times New Roman" w:hAnsi="Times New Roman" w:cs="Times New Roman"/>
          <w:b/>
          <w:i/>
        </w:rPr>
        <w:t xml:space="preserve">. </w:t>
      </w:r>
      <w:r w:rsidRPr="00A703FC">
        <w:rPr>
          <w:rFonts w:ascii="Times New Roman" w:hAnsi="Times New Roman" w:cs="Times New Roman"/>
          <w:b/>
          <w:i/>
        </w:rPr>
        <w:t>Are my students/lab</w:t>
      </w:r>
      <w:r w:rsidR="00905C9C" w:rsidRPr="00A703FC">
        <w:rPr>
          <w:rFonts w:ascii="Times New Roman" w:hAnsi="Times New Roman" w:cs="Times New Roman"/>
          <w:b/>
          <w:i/>
        </w:rPr>
        <w:t xml:space="preserve"> staff </w:t>
      </w:r>
      <w:r w:rsidRPr="00A703FC">
        <w:rPr>
          <w:rFonts w:ascii="Times New Roman" w:hAnsi="Times New Roman" w:cs="Times New Roman"/>
          <w:b/>
          <w:i/>
        </w:rPr>
        <w:t>permitted to administer controlled substances (in accordance with approved protocol) in my absence</w:t>
      </w:r>
      <w:r w:rsidR="00905C9C" w:rsidRPr="00A703FC">
        <w:rPr>
          <w:rFonts w:ascii="Times New Roman" w:hAnsi="Times New Roman" w:cs="Times New Roman"/>
          <w:b/>
          <w:i/>
        </w:rPr>
        <w:t>?</w:t>
      </w:r>
    </w:p>
    <w:p w:rsidR="00A703FC" w:rsidRPr="00B06942" w:rsidRDefault="00905C9C" w:rsidP="00B069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06942">
        <w:rPr>
          <w:rFonts w:ascii="Times New Roman" w:hAnsi="Times New Roman" w:cs="Times New Roman"/>
        </w:rPr>
        <w:t>Yes, they can,</w:t>
      </w:r>
      <w:r w:rsidR="001B6C02" w:rsidRPr="00B06942">
        <w:rPr>
          <w:rFonts w:ascii="Times New Roman" w:hAnsi="Times New Roman" w:cs="Times New Roman"/>
        </w:rPr>
        <w:t xml:space="preserve"> even if you are away</w:t>
      </w:r>
      <w:r w:rsidR="00A703FC" w:rsidRPr="00B06942">
        <w:rPr>
          <w:rFonts w:ascii="Times New Roman" w:hAnsi="Times New Roman" w:cs="Times New Roman"/>
        </w:rPr>
        <w:t xml:space="preserve">. </w:t>
      </w:r>
      <w:r w:rsidR="002335DE" w:rsidRPr="00B06942">
        <w:rPr>
          <w:rFonts w:ascii="Times New Roman" w:hAnsi="Times New Roman" w:cs="Times New Roman"/>
        </w:rPr>
        <w:t xml:space="preserve">However, </w:t>
      </w:r>
      <w:r w:rsidRPr="00B06942">
        <w:rPr>
          <w:rFonts w:ascii="Times New Roman" w:hAnsi="Times New Roman" w:cs="Times New Roman"/>
        </w:rPr>
        <w:t xml:space="preserve">you are </w:t>
      </w:r>
      <w:r w:rsidR="002335DE" w:rsidRPr="00B06942">
        <w:rPr>
          <w:rFonts w:ascii="Times New Roman" w:hAnsi="Times New Roman" w:cs="Times New Roman"/>
        </w:rPr>
        <w:t>ultimately responsible for all use and records</w:t>
      </w:r>
      <w:r w:rsidR="001B6C02" w:rsidRPr="00B06942">
        <w:rPr>
          <w:rFonts w:ascii="Times New Roman" w:hAnsi="Times New Roman" w:cs="Times New Roman"/>
        </w:rPr>
        <w:t>.</w:t>
      </w:r>
      <w:r w:rsidR="00A703FC" w:rsidRPr="00B06942">
        <w:rPr>
          <w:rFonts w:ascii="Times New Roman" w:hAnsi="Times New Roman" w:cs="Times New Roman"/>
        </w:rPr>
        <w:t xml:space="preserve"> </w:t>
      </w:r>
      <w:r w:rsidR="00B06942">
        <w:rPr>
          <w:rFonts w:ascii="Times New Roman" w:hAnsi="Times New Roman" w:cs="Times New Roman"/>
        </w:rPr>
        <w:t xml:space="preserve">So, </w:t>
      </w:r>
      <w:r w:rsidR="002335DE" w:rsidRPr="00B06942">
        <w:rPr>
          <w:rFonts w:ascii="Times New Roman" w:hAnsi="Times New Roman" w:cs="Times New Roman"/>
        </w:rPr>
        <w:t>make sure you trust those you leave “in charge”!!</w:t>
      </w:r>
    </w:p>
    <w:p w:rsidR="00B06942" w:rsidRDefault="00905C9C" w:rsidP="00B06942">
      <w:pPr>
        <w:contextualSpacing/>
        <w:rPr>
          <w:rFonts w:ascii="Times New Roman" w:hAnsi="Times New Roman" w:cs="Times New Roman"/>
          <w:b/>
          <w:i/>
        </w:rPr>
      </w:pPr>
      <w:r w:rsidRPr="00A703FC">
        <w:rPr>
          <w:rFonts w:ascii="Times New Roman" w:hAnsi="Times New Roman" w:cs="Times New Roman"/>
          <w:b/>
          <w:i/>
        </w:rPr>
        <w:t>Suppose I need to go to another site</w:t>
      </w:r>
      <w:r w:rsidR="002335DE" w:rsidRPr="00A703FC">
        <w:rPr>
          <w:rFonts w:ascii="Times New Roman" w:hAnsi="Times New Roman" w:cs="Times New Roman"/>
          <w:b/>
          <w:i/>
        </w:rPr>
        <w:t>,</w:t>
      </w:r>
      <w:r w:rsidRPr="00A703FC">
        <w:rPr>
          <w:rFonts w:ascii="Times New Roman" w:hAnsi="Times New Roman" w:cs="Times New Roman"/>
          <w:b/>
          <w:i/>
        </w:rPr>
        <w:t xml:space="preserve"> such as a</w:t>
      </w:r>
      <w:r w:rsidR="002335DE" w:rsidRPr="00A703FC">
        <w:rPr>
          <w:rFonts w:ascii="Times New Roman" w:hAnsi="Times New Roman" w:cs="Times New Roman"/>
          <w:b/>
          <w:i/>
        </w:rPr>
        <w:t>nother</w:t>
      </w:r>
      <w:r w:rsidRPr="00A703FC">
        <w:rPr>
          <w:rFonts w:ascii="Times New Roman" w:hAnsi="Times New Roman" w:cs="Times New Roman"/>
          <w:b/>
          <w:i/>
        </w:rPr>
        <w:t xml:space="preserve"> building or </w:t>
      </w:r>
      <w:r w:rsidR="002335DE" w:rsidRPr="00A703FC">
        <w:rPr>
          <w:rFonts w:ascii="Times New Roman" w:hAnsi="Times New Roman" w:cs="Times New Roman"/>
          <w:b/>
          <w:i/>
        </w:rPr>
        <w:t>in</w:t>
      </w:r>
      <w:r w:rsidRPr="00A703FC">
        <w:rPr>
          <w:rFonts w:ascii="Times New Roman" w:hAnsi="Times New Roman" w:cs="Times New Roman"/>
          <w:b/>
          <w:i/>
        </w:rPr>
        <w:t>to the vivarium from my lab</w:t>
      </w:r>
      <w:r w:rsidR="002335DE" w:rsidRPr="00A703FC">
        <w:rPr>
          <w:rFonts w:ascii="Times New Roman" w:hAnsi="Times New Roman" w:cs="Times New Roman"/>
          <w:b/>
          <w:i/>
        </w:rPr>
        <w:t>,</w:t>
      </w:r>
      <w:r w:rsidRPr="00A703FC">
        <w:rPr>
          <w:rFonts w:ascii="Times New Roman" w:hAnsi="Times New Roman" w:cs="Times New Roman"/>
          <w:b/>
          <w:i/>
        </w:rPr>
        <w:t xml:space="preserve"> and need to take my controlled </w:t>
      </w:r>
      <w:r w:rsidR="001B6C02" w:rsidRPr="00A703FC">
        <w:rPr>
          <w:rFonts w:ascii="Times New Roman" w:hAnsi="Times New Roman" w:cs="Times New Roman"/>
          <w:b/>
          <w:i/>
        </w:rPr>
        <w:t>substances</w:t>
      </w:r>
      <w:r w:rsidRPr="00A703FC">
        <w:rPr>
          <w:rFonts w:ascii="Times New Roman" w:hAnsi="Times New Roman" w:cs="Times New Roman"/>
          <w:b/>
          <w:i/>
        </w:rPr>
        <w:t xml:space="preserve"> with me</w:t>
      </w:r>
      <w:r w:rsidR="002335DE" w:rsidRPr="00A703FC">
        <w:rPr>
          <w:rFonts w:ascii="Times New Roman" w:hAnsi="Times New Roman" w:cs="Times New Roman"/>
          <w:b/>
          <w:i/>
        </w:rPr>
        <w:t>.</w:t>
      </w:r>
      <w:r w:rsidRPr="00A703FC">
        <w:rPr>
          <w:rFonts w:ascii="Times New Roman" w:hAnsi="Times New Roman" w:cs="Times New Roman"/>
          <w:b/>
          <w:i/>
        </w:rPr>
        <w:t xml:space="preserve"> Is this ok?</w:t>
      </w:r>
    </w:p>
    <w:p w:rsidR="00905C9C" w:rsidRPr="00B06942" w:rsidRDefault="00905C9C" w:rsidP="00B069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B06942">
        <w:rPr>
          <w:rFonts w:ascii="Times New Roman" w:hAnsi="Times New Roman" w:cs="Times New Roman"/>
        </w:rPr>
        <w:t xml:space="preserve">Yes, you can do so as long as you control the use and access at all times, and </w:t>
      </w:r>
      <w:r w:rsidR="002335DE" w:rsidRPr="00B06942">
        <w:rPr>
          <w:rFonts w:ascii="Times New Roman" w:hAnsi="Times New Roman" w:cs="Times New Roman"/>
        </w:rPr>
        <w:t xml:space="preserve">make sure the </w:t>
      </w:r>
      <w:r w:rsidR="00B06942">
        <w:rPr>
          <w:rFonts w:ascii="Times New Roman" w:hAnsi="Times New Roman" w:cs="Times New Roman"/>
        </w:rPr>
        <w:t xml:space="preserve">remaining CS(s) </w:t>
      </w:r>
      <w:r w:rsidR="00C11C8D" w:rsidRPr="00B06942">
        <w:rPr>
          <w:rFonts w:ascii="Times New Roman" w:hAnsi="Times New Roman" w:cs="Times New Roman"/>
        </w:rPr>
        <w:t xml:space="preserve">are returned </w:t>
      </w:r>
      <w:r w:rsidR="002335DE" w:rsidRPr="00B06942">
        <w:rPr>
          <w:rFonts w:ascii="Times New Roman" w:hAnsi="Times New Roman" w:cs="Times New Roman"/>
        </w:rPr>
        <w:t>to your</w:t>
      </w:r>
      <w:r w:rsidRPr="00B06942">
        <w:rPr>
          <w:rFonts w:ascii="Times New Roman" w:hAnsi="Times New Roman" w:cs="Times New Roman"/>
        </w:rPr>
        <w:t xml:space="preserve"> </w:t>
      </w:r>
      <w:r w:rsidR="001B6C02" w:rsidRPr="00B06942">
        <w:rPr>
          <w:rFonts w:ascii="Times New Roman" w:hAnsi="Times New Roman" w:cs="Times New Roman"/>
        </w:rPr>
        <w:t xml:space="preserve">lock </w:t>
      </w:r>
      <w:r w:rsidRPr="00B06942">
        <w:rPr>
          <w:rFonts w:ascii="Times New Roman" w:hAnsi="Times New Roman" w:cs="Times New Roman"/>
        </w:rPr>
        <w:t xml:space="preserve">box when done. Use of the </w:t>
      </w:r>
      <w:r w:rsidR="00C11C8D" w:rsidRPr="00B06942">
        <w:rPr>
          <w:rFonts w:ascii="Times New Roman" w:hAnsi="Times New Roman" w:cs="Times New Roman"/>
        </w:rPr>
        <w:t>CS</w:t>
      </w:r>
      <w:r w:rsidRPr="00B06942">
        <w:rPr>
          <w:rFonts w:ascii="Times New Roman" w:hAnsi="Times New Roman" w:cs="Times New Roman"/>
        </w:rPr>
        <w:t xml:space="preserve"> still need</w:t>
      </w:r>
      <w:r w:rsidR="001B6C02" w:rsidRPr="00B06942">
        <w:rPr>
          <w:rFonts w:ascii="Times New Roman" w:hAnsi="Times New Roman" w:cs="Times New Roman"/>
        </w:rPr>
        <w:t>s</w:t>
      </w:r>
      <w:r w:rsidRPr="00B06942">
        <w:rPr>
          <w:rFonts w:ascii="Times New Roman" w:hAnsi="Times New Roman" w:cs="Times New Roman"/>
        </w:rPr>
        <w:t xml:space="preserve"> to be accounted for on the </w:t>
      </w:r>
      <w:r w:rsidR="00B06942" w:rsidRPr="00B06942">
        <w:rPr>
          <w:rFonts w:ascii="Times New Roman" w:hAnsi="Times New Roman" w:cs="Times New Roman"/>
        </w:rPr>
        <w:t xml:space="preserve">appropriate </w:t>
      </w:r>
      <w:r w:rsidR="00B06942">
        <w:rPr>
          <w:rFonts w:ascii="Times New Roman" w:hAnsi="Times New Roman" w:cs="Times New Roman"/>
        </w:rPr>
        <w:t xml:space="preserve">log </w:t>
      </w:r>
      <w:r w:rsidR="002335DE" w:rsidRPr="00B06942">
        <w:rPr>
          <w:rFonts w:ascii="Times New Roman" w:hAnsi="Times New Roman" w:cs="Times New Roman"/>
        </w:rPr>
        <w:t>sheet</w:t>
      </w:r>
      <w:r w:rsidRPr="00B06942">
        <w:rPr>
          <w:rFonts w:ascii="Times New Roman" w:hAnsi="Times New Roman" w:cs="Times New Roman"/>
        </w:rPr>
        <w:t>.</w:t>
      </w:r>
    </w:p>
    <w:p w:rsidR="00B06942" w:rsidRDefault="00905C9C" w:rsidP="00B06942">
      <w:pPr>
        <w:contextualSpacing/>
        <w:rPr>
          <w:rFonts w:ascii="Times New Roman" w:hAnsi="Times New Roman" w:cs="Times New Roman"/>
          <w:b/>
          <w:i/>
        </w:rPr>
      </w:pPr>
      <w:r w:rsidRPr="00A703FC">
        <w:rPr>
          <w:rFonts w:ascii="Times New Roman" w:hAnsi="Times New Roman" w:cs="Times New Roman"/>
          <w:b/>
          <w:i/>
        </w:rPr>
        <w:t>Where is the best place to</w:t>
      </w:r>
      <w:r w:rsidR="00DF13C3">
        <w:rPr>
          <w:rFonts w:ascii="Times New Roman" w:hAnsi="Times New Roman" w:cs="Times New Roman"/>
          <w:b/>
          <w:i/>
        </w:rPr>
        <w:t xml:space="preserve"> keep individual CS</w:t>
      </w:r>
      <w:r w:rsidRPr="00A703FC">
        <w:rPr>
          <w:rFonts w:ascii="Times New Roman" w:hAnsi="Times New Roman" w:cs="Times New Roman"/>
          <w:b/>
          <w:i/>
        </w:rPr>
        <w:t xml:space="preserve"> logs?</w:t>
      </w:r>
    </w:p>
    <w:p w:rsidR="00905C9C" w:rsidRPr="00B06942" w:rsidRDefault="00DF13C3" w:rsidP="00B069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B06942">
        <w:rPr>
          <w:rFonts w:ascii="Times New Roman" w:hAnsi="Times New Roman" w:cs="Times New Roman"/>
        </w:rPr>
        <w:t>CS</w:t>
      </w:r>
      <w:r w:rsidR="002335DE" w:rsidRPr="00B06942">
        <w:rPr>
          <w:rFonts w:ascii="Times New Roman" w:hAnsi="Times New Roman" w:cs="Times New Roman"/>
        </w:rPr>
        <w:t xml:space="preserve"> logs</w:t>
      </w:r>
      <w:r w:rsidR="00905C9C" w:rsidRPr="00B06942">
        <w:rPr>
          <w:rFonts w:ascii="Times New Roman" w:hAnsi="Times New Roman" w:cs="Times New Roman"/>
        </w:rPr>
        <w:t xml:space="preserve"> shou</w:t>
      </w:r>
      <w:r w:rsidRPr="00B06942">
        <w:rPr>
          <w:rFonts w:ascii="Times New Roman" w:hAnsi="Times New Roman" w:cs="Times New Roman"/>
        </w:rPr>
        <w:t>ld be kept either with the CS</w:t>
      </w:r>
      <w:r w:rsidR="00905C9C" w:rsidRPr="00B06942">
        <w:rPr>
          <w:rFonts w:ascii="Times New Roman" w:hAnsi="Times New Roman" w:cs="Times New Roman"/>
        </w:rPr>
        <w:t xml:space="preserve"> in your lock</w:t>
      </w:r>
      <w:r w:rsidR="001B6C02" w:rsidRPr="00B06942">
        <w:rPr>
          <w:rFonts w:ascii="Times New Roman" w:hAnsi="Times New Roman" w:cs="Times New Roman"/>
        </w:rPr>
        <w:t xml:space="preserve"> </w:t>
      </w:r>
      <w:r w:rsidR="00905C9C" w:rsidRPr="00B06942">
        <w:rPr>
          <w:rFonts w:ascii="Times New Roman" w:hAnsi="Times New Roman" w:cs="Times New Roman"/>
        </w:rPr>
        <w:t>b</w:t>
      </w:r>
      <w:r w:rsidR="00C11C8D" w:rsidRPr="00B06942">
        <w:rPr>
          <w:rFonts w:ascii="Times New Roman" w:hAnsi="Times New Roman" w:cs="Times New Roman"/>
        </w:rPr>
        <w:t>ox, or i</w:t>
      </w:r>
      <w:r w:rsidRPr="00B06942">
        <w:rPr>
          <w:rFonts w:ascii="Times New Roman" w:hAnsi="Times New Roman" w:cs="Times New Roman"/>
        </w:rPr>
        <w:t xml:space="preserve">n a nearby notebook for DEA or </w:t>
      </w:r>
      <w:r w:rsidR="00B06942">
        <w:rPr>
          <w:rFonts w:ascii="Times New Roman" w:hAnsi="Times New Roman" w:cs="Times New Roman"/>
        </w:rPr>
        <w:t xml:space="preserve">institutional </w:t>
      </w:r>
      <w:r w:rsidR="00C11C8D" w:rsidRPr="00B06942">
        <w:rPr>
          <w:rFonts w:ascii="Times New Roman" w:hAnsi="Times New Roman" w:cs="Times New Roman"/>
        </w:rPr>
        <w:t>i</w:t>
      </w:r>
      <w:r w:rsidR="00905C9C" w:rsidRPr="00B06942">
        <w:rPr>
          <w:rFonts w:ascii="Times New Roman" w:hAnsi="Times New Roman" w:cs="Times New Roman"/>
        </w:rPr>
        <w:t>nspection.</w:t>
      </w:r>
    </w:p>
    <w:p w:rsidR="00A703FC" w:rsidRPr="00A703FC" w:rsidRDefault="00A703FC" w:rsidP="00B06942">
      <w:pPr>
        <w:contextualSpacing/>
        <w:rPr>
          <w:rFonts w:ascii="Times New Roman" w:hAnsi="Times New Roman" w:cs="Times New Roman"/>
          <w:sz w:val="12"/>
        </w:rPr>
      </w:pPr>
    </w:p>
    <w:p w:rsidR="00B06942" w:rsidRDefault="00905C9C" w:rsidP="00B06942">
      <w:pPr>
        <w:contextualSpacing/>
        <w:rPr>
          <w:rFonts w:ascii="Times New Roman" w:hAnsi="Times New Roman" w:cs="Times New Roman"/>
          <w:b/>
          <w:i/>
        </w:rPr>
      </w:pPr>
      <w:r w:rsidRPr="00A703FC">
        <w:rPr>
          <w:rFonts w:ascii="Times New Roman" w:hAnsi="Times New Roman" w:cs="Times New Roman"/>
          <w:b/>
          <w:i/>
        </w:rPr>
        <w:t xml:space="preserve">Do I need to lock my </w:t>
      </w:r>
      <w:r w:rsidR="00DF13C3">
        <w:rPr>
          <w:rFonts w:ascii="Times New Roman" w:hAnsi="Times New Roman" w:cs="Times New Roman"/>
          <w:b/>
          <w:i/>
        </w:rPr>
        <w:t>CS</w:t>
      </w:r>
      <w:r w:rsidRPr="00A703FC">
        <w:rPr>
          <w:rFonts w:ascii="Times New Roman" w:hAnsi="Times New Roman" w:cs="Times New Roman"/>
          <w:b/>
          <w:i/>
        </w:rPr>
        <w:t xml:space="preserve"> up?</w:t>
      </w:r>
    </w:p>
    <w:p w:rsidR="00905C9C" w:rsidRPr="00B06942" w:rsidRDefault="00A703FC" w:rsidP="00B069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B06942">
        <w:rPr>
          <w:rFonts w:ascii="Times New Roman" w:hAnsi="Times New Roman" w:cs="Times New Roman"/>
        </w:rPr>
        <w:t xml:space="preserve">Yes. </w:t>
      </w:r>
      <w:r w:rsidR="00905C9C" w:rsidRPr="00B06942">
        <w:rPr>
          <w:rFonts w:ascii="Times New Roman" w:hAnsi="Times New Roman" w:cs="Times New Roman"/>
        </w:rPr>
        <w:t>The DEA is not explicit about what is required, but expects that ade</w:t>
      </w:r>
      <w:r w:rsidRPr="00B06942">
        <w:rPr>
          <w:rFonts w:ascii="Times New Roman" w:hAnsi="Times New Roman" w:cs="Times New Roman"/>
        </w:rPr>
        <w:t>q</w:t>
      </w:r>
      <w:r w:rsidR="00B06942">
        <w:rPr>
          <w:rFonts w:ascii="Times New Roman" w:hAnsi="Times New Roman" w:cs="Times New Roman"/>
        </w:rPr>
        <w:t xml:space="preserve">uate security is provided. WVU </w:t>
      </w:r>
      <w:r w:rsidR="00905C9C" w:rsidRPr="00B06942">
        <w:rPr>
          <w:rFonts w:ascii="Times New Roman" w:hAnsi="Times New Roman" w:cs="Times New Roman"/>
        </w:rPr>
        <w:t>policy</w:t>
      </w:r>
      <w:r w:rsidRPr="00B06942">
        <w:rPr>
          <w:rFonts w:ascii="Times New Roman" w:hAnsi="Times New Roman" w:cs="Times New Roman"/>
        </w:rPr>
        <w:t xml:space="preserve"> states </w:t>
      </w:r>
      <w:r w:rsidR="00C11C8D" w:rsidRPr="00B06942">
        <w:rPr>
          <w:rFonts w:ascii="Times New Roman" w:hAnsi="Times New Roman" w:cs="Times New Roman"/>
        </w:rPr>
        <w:t xml:space="preserve">that CS must be kept </w:t>
      </w:r>
      <w:r w:rsidRPr="00B06942">
        <w:rPr>
          <w:rFonts w:ascii="Times New Roman" w:hAnsi="Times New Roman" w:cs="Times New Roman"/>
        </w:rPr>
        <w:t xml:space="preserve">in a double-locked space. The inner </w:t>
      </w:r>
      <w:r w:rsidR="00C11C8D" w:rsidRPr="00B06942">
        <w:rPr>
          <w:rFonts w:ascii="Times New Roman" w:hAnsi="Times New Roman" w:cs="Times New Roman"/>
        </w:rPr>
        <w:t>storage c</w:t>
      </w:r>
      <w:r w:rsidR="00B06942">
        <w:rPr>
          <w:rFonts w:ascii="Times New Roman" w:hAnsi="Times New Roman" w:cs="Times New Roman"/>
        </w:rPr>
        <w:t xml:space="preserve">ontainer must be fixed so that </w:t>
      </w:r>
      <w:r w:rsidR="00C11C8D" w:rsidRPr="00B06942">
        <w:rPr>
          <w:rFonts w:ascii="Times New Roman" w:hAnsi="Times New Roman" w:cs="Times New Roman"/>
        </w:rPr>
        <w:t>it can’t be c</w:t>
      </w:r>
      <w:r w:rsidRPr="00B06942">
        <w:rPr>
          <w:rFonts w:ascii="Times New Roman" w:hAnsi="Times New Roman" w:cs="Times New Roman"/>
        </w:rPr>
        <w:t>arried away. A locked filing</w:t>
      </w:r>
      <w:r w:rsidR="00905C9C" w:rsidRPr="00B06942">
        <w:rPr>
          <w:rFonts w:ascii="Times New Roman" w:hAnsi="Times New Roman" w:cs="Times New Roman"/>
        </w:rPr>
        <w:t xml:space="preserve"> cabinet</w:t>
      </w:r>
      <w:r w:rsidR="001B6C02" w:rsidRPr="00B06942">
        <w:rPr>
          <w:rFonts w:ascii="Times New Roman" w:hAnsi="Times New Roman" w:cs="Times New Roman"/>
        </w:rPr>
        <w:t xml:space="preserve"> drawer or built-in cabinet</w:t>
      </w:r>
      <w:r w:rsidR="00905C9C" w:rsidRPr="00B06942">
        <w:rPr>
          <w:rFonts w:ascii="Times New Roman" w:hAnsi="Times New Roman" w:cs="Times New Roman"/>
        </w:rPr>
        <w:t xml:space="preserve"> is a good example of </w:t>
      </w:r>
      <w:r w:rsidR="00B06942">
        <w:rPr>
          <w:rFonts w:ascii="Times New Roman" w:hAnsi="Times New Roman" w:cs="Times New Roman"/>
        </w:rPr>
        <w:t xml:space="preserve">a </w:t>
      </w:r>
      <w:r w:rsidR="00C11C8D" w:rsidRPr="00B06942">
        <w:rPr>
          <w:rFonts w:ascii="Times New Roman" w:hAnsi="Times New Roman" w:cs="Times New Roman"/>
        </w:rPr>
        <w:t>secure storage</w:t>
      </w:r>
      <w:r w:rsidR="00B06942">
        <w:rPr>
          <w:rFonts w:ascii="Times New Roman" w:hAnsi="Times New Roman" w:cs="Times New Roman"/>
        </w:rPr>
        <w:t xml:space="preserve"> </w:t>
      </w:r>
      <w:r w:rsidR="00905C9C" w:rsidRPr="00B06942">
        <w:rPr>
          <w:rFonts w:ascii="Times New Roman" w:hAnsi="Times New Roman" w:cs="Times New Roman"/>
        </w:rPr>
        <w:t>place</w:t>
      </w:r>
      <w:r w:rsidR="00C11C8D" w:rsidRPr="00B06942">
        <w:rPr>
          <w:rFonts w:ascii="Times New Roman" w:hAnsi="Times New Roman" w:cs="Times New Roman"/>
        </w:rPr>
        <w:t xml:space="preserve"> for CS</w:t>
      </w:r>
      <w:r w:rsidR="00905C9C" w:rsidRPr="00B06942">
        <w:rPr>
          <w:rFonts w:ascii="Times New Roman" w:hAnsi="Times New Roman" w:cs="Times New Roman"/>
        </w:rPr>
        <w:t xml:space="preserve"> within a locked room</w:t>
      </w:r>
      <w:r w:rsidRPr="00B06942">
        <w:rPr>
          <w:rFonts w:ascii="Times New Roman" w:hAnsi="Times New Roman" w:cs="Times New Roman"/>
        </w:rPr>
        <w:t xml:space="preserve">. </w:t>
      </w:r>
      <w:r w:rsidR="00905C9C" w:rsidRPr="00B06942">
        <w:rPr>
          <w:rFonts w:ascii="Times New Roman" w:hAnsi="Times New Roman" w:cs="Times New Roman"/>
        </w:rPr>
        <w:t xml:space="preserve">Remember, </w:t>
      </w:r>
      <w:r w:rsidR="00C11C8D" w:rsidRPr="00B06942">
        <w:rPr>
          <w:rFonts w:ascii="Times New Roman" w:hAnsi="Times New Roman" w:cs="Times New Roman"/>
        </w:rPr>
        <w:t>the registrant is</w:t>
      </w:r>
      <w:r w:rsidR="00905C9C" w:rsidRPr="00B06942">
        <w:rPr>
          <w:rFonts w:ascii="Times New Roman" w:hAnsi="Times New Roman" w:cs="Times New Roman"/>
        </w:rPr>
        <w:t xml:space="preserve"> responsible</w:t>
      </w:r>
      <w:r w:rsidR="00B06942">
        <w:rPr>
          <w:rFonts w:ascii="Times New Roman" w:hAnsi="Times New Roman" w:cs="Times New Roman"/>
        </w:rPr>
        <w:t xml:space="preserve"> for access, so control who has </w:t>
      </w:r>
      <w:r w:rsidR="00905C9C" w:rsidRPr="00B06942">
        <w:rPr>
          <w:rFonts w:ascii="Times New Roman" w:hAnsi="Times New Roman" w:cs="Times New Roman"/>
        </w:rPr>
        <w:t>combinations or keys and whether the keys could be copied</w:t>
      </w:r>
      <w:r w:rsidRPr="00B06942">
        <w:rPr>
          <w:rFonts w:ascii="Times New Roman" w:hAnsi="Times New Roman" w:cs="Times New Roman"/>
        </w:rPr>
        <w:t xml:space="preserve"> or fall into the wrong hands. If you</w:t>
      </w:r>
      <w:r w:rsidR="00905C9C" w:rsidRPr="00B06942">
        <w:rPr>
          <w:rFonts w:ascii="Times New Roman" w:hAnsi="Times New Roman" w:cs="Times New Roman"/>
        </w:rPr>
        <w:t xml:space="preserve"> suspect </w:t>
      </w:r>
      <w:r w:rsidR="00B06942">
        <w:rPr>
          <w:rFonts w:ascii="Times New Roman" w:hAnsi="Times New Roman" w:cs="Times New Roman"/>
        </w:rPr>
        <w:t xml:space="preserve">that </w:t>
      </w:r>
      <w:r w:rsidR="00905C9C" w:rsidRPr="00B06942">
        <w:rPr>
          <w:rFonts w:ascii="Times New Roman" w:hAnsi="Times New Roman" w:cs="Times New Roman"/>
        </w:rPr>
        <w:t xml:space="preserve">your </w:t>
      </w:r>
      <w:r w:rsidR="00C11C8D" w:rsidRPr="00B06942">
        <w:rPr>
          <w:rFonts w:ascii="Times New Roman" w:hAnsi="Times New Roman" w:cs="Times New Roman"/>
        </w:rPr>
        <w:t>CS</w:t>
      </w:r>
      <w:r w:rsidR="00905C9C" w:rsidRPr="00B06942">
        <w:rPr>
          <w:rFonts w:ascii="Times New Roman" w:hAnsi="Times New Roman" w:cs="Times New Roman"/>
        </w:rPr>
        <w:t xml:space="preserve"> may not be secure anymore, change the locks or combinations.  </w:t>
      </w:r>
    </w:p>
    <w:p w:rsidR="00B06942" w:rsidRDefault="00905C9C" w:rsidP="00B06942">
      <w:pPr>
        <w:contextualSpacing/>
        <w:rPr>
          <w:rFonts w:ascii="Times New Roman" w:hAnsi="Times New Roman" w:cs="Times New Roman"/>
          <w:b/>
          <w:i/>
        </w:rPr>
      </w:pPr>
      <w:r w:rsidRPr="00A703FC">
        <w:rPr>
          <w:rFonts w:ascii="Times New Roman" w:hAnsi="Times New Roman" w:cs="Times New Roman"/>
          <w:b/>
          <w:i/>
        </w:rPr>
        <w:t xml:space="preserve">How does the DEA </w:t>
      </w:r>
      <w:r w:rsidR="00030414">
        <w:rPr>
          <w:rFonts w:ascii="Times New Roman" w:hAnsi="Times New Roman" w:cs="Times New Roman"/>
          <w:b/>
          <w:i/>
        </w:rPr>
        <w:t>determine what schedule of CS</w:t>
      </w:r>
      <w:r w:rsidRPr="00A703FC">
        <w:rPr>
          <w:rFonts w:ascii="Times New Roman" w:hAnsi="Times New Roman" w:cs="Times New Roman"/>
          <w:b/>
          <w:i/>
        </w:rPr>
        <w:t xml:space="preserve"> I’m allowed to have?</w:t>
      </w:r>
    </w:p>
    <w:p w:rsidR="00A703FC" w:rsidRPr="00B06942" w:rsidRDefault="00905C9C" w:rsidP="00B069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B06942">
        <w:rPr>
          <w:rFonts w:ascii="Times New Roman" w:hAnsi="Times New Roman" w:cs="Times New Roman"/>
        </w:rPr>
        <w:t>If you have a “researcher” license, your ACUC protocol determines wha</w:t>
      </w:r>
      <w:r w:rsidR="00A703FC" w:rsidRPr="00B06942">
        <w:rPr>
          <w:rFonts w:ascii="Times New Roman" w:hAnsi="Times New Roman" w:cs="Times New Roman"/>
        </w:rPr>
        <w:t>t schedule drugs you can have</w:t>
      </w:r>
      <w:r w:rsidR="00B06942">
        <w:rPr>
          <w:rFonts w:ascii="Times New Roman" w:hAnsi="Times New Roman" w:cs="Times New Roman"/>
        </w:rPr>
        <w:t xml:space="preserve"> and/or </w:t>
      </w:r>
      <w:r w:rsidR="00030414" w:rsidRPr="00B06942">
        <w:rPr>
          <w:rFonts w:ascii="Times New Roman" w:hAnsi="Times New Roman" w:cs="Times New Roman"/>
        </w:rPr>
        <w:t>use</w:t>
      </w:r>
      <w:r w:rsidR="00A703FC" w:rsidRPr="00B06942">
        <w:rPr>
          <w:rFonts w:ascii="Times New Roman" w:hAnsi="Times New Roman" w:cs="Times New Roman"/>
        </w:rPr>
        <w:t xml:space="preserve">. </w:t>
      </w:r>
      <w:r w:rsidRPr="00B06942">
        <w:rPr>
          <w:rFonts w:ascii="Times New Roman" w:hAnsi="Times New Roman" w:cs="Times New Roman"/>
        </w:rPr>
        <w:t>For example, if your</w:t>
      </w:r>
      <w:r w:rsidR="009A76D3" w:rsidRPr="00B06942">
        <w:rPr>
          <w:rFonts w:ascii="Times New Roman" w:hAnsi="Times New Roman" w:cs="Times New Roman"/>
        </w:rPr>
        <w:t xml:space="preserve"> ACUC</w:t>
      </w:r>
      <w:r w:rsidRPr="00B06942">
        <w:rPr>
          <w:rFonts w:ascii="Times New Roman" w:hAnsi="Times New Roman" w:cs="Times New Roman"/>
        </w:rPr>
        <w:t xml:space="preserve"> protocol only lists ketamine</w:t>
      </w:r>
      <w:r w:rsidR="00030414" w:rsidRPr="00B06942">
        <w:rPr>
          <w:rFonts w:ascii="Times New Roman" w:hAnsi="Times New Roman" w:cs="Times New Roman"/>
        </w:rPr>
        <w:t xml:space="preserve"> (a schedule III CS)</w:t>
      </w:r>
      <w:r w:rsidRPr="00B06942">
        <w:rPr>
          <w:rFonts w:ascii="Times New Roman" w:hAnsi="Times New Roman" w:cs="Times New Roman"/>
        </w:rPr>
        <w:t>, you</w:t>
      </w:r>
      <w:r w:rsidR="004F781F" w:rsidRPr="00B06942">
        <w:rPr>
          <w:rFonts w:ascii="Times New Roman" w:hAnsi="Times New Roman" w:cs="Times New Roman"/>
        </w:rPr>
        <w:t>r</w:t>
      </w:r>
      <w:r w:rsidRPr="00B06942">
        <w:rPr>
          <w:rFonts w:ascii="Times New Roman" w:hAnsi="Times New Roman" w:cs="Times New Roman"/>
        </w:rPr>
        <w:t xml:space="preserve"> DEA license </w:t>
      </w:r>
      <w:r w:rsidR="004F781F" w:rsidRPr="00B06942">
        <w:rPr>
          <w:rFonts w:ascii="Times New Roman" w:hAnsi="Times New Roman" w:cs="Times New Roman"/>
        </w:rPr>
        <w:t>will</w:t>
      </w:r>
      <w:r w:rsidRPr="00B06942">
        <w:rPr>
          <w:rFonts w:ascii="Times New Roman" w:hAnsi="Times New Roman" w:cs="Times New Roman"/>
        </w:rPr>
        <w:t xml:space="preserve"> only allow schedule III drug </w:t>
      </w:r>
      <w:r w:rsidR="004F781F" w:rsidRPr="00B06942">
        <w:rPr>
          <w:rFonts w:ascii="Times New Roman" w:hAnsi="Times New Roman" w:cs="Times New Roman"/>
        </w:rPr>
        <w:t>purchases</w:t>
      </w:r>
      <w:r w:rsidR="00A703FC" w:rsidRPr="00B06942">
        <w:rPr>
          <w:rFonts w:ascii="Times New Roman" w:hAnsi="Times New Roman" w:cs="Times New Roman"/>
        </w:rPr>
        <w:t xml:space="preserve">. </w:t>
      </w:r>
      <w:r w:rsidRPr="00B06942">
        <w:rPr>
          <w:rFonts w:ascii="Times New Roman" w:hAnsi="Times New Roman" w:cs="Times New Roman"/>
        </w:rPr>
        <w:t xml:space="preserve">If you then decide to use pentobarbital, or another Schedule II drug, you will need to send a letter to the DEA to amend your license. </w:t>
      </w:r>
      <w:r w:rsidR="001B6C02" w:rsidRPr="00B06942">
        <w:rPr>
          <w:rFonts w:ascii="Times New Roman" w:hAnsi="Times New Roman" w:cs="Times New Roman"/>
        </w:rPr>
        <w:t>They</w:t>
      </w:r>
      <w:r w:rsidR="00030414" w:rsidRPr="00B06942">
        <w:rPr>
          <w:rFonts w:ascii="Times New Roman" w:hAnsi="Times New Roman" w:cs="Times New Roman"/>
        </w:rPr>
        <w:t xml:space="preserve"> usually</w:t>
      </w:r>
      <w:r w:rsidR="001B6C02" w:rsidRPr="00B06942">
        <w:rPr>
          <w:rFonts w:ascii="Times New Roman" w:hAnsi="Times New Roman" w:cs="Times New Roman"/>
        </w:rPr>
        <w:t xml:space="preserve"> will send you an </w:t>
      </w:r>
      <w:r w:rsidR="00B06942">
        <w:rPr>
          <w:rFonts w:ascii="Times New Roman" w:hAnsi="Times New Roman" w:cs="Times New Roman"/>
        </w:rPr>
        <w:t xml:space="preserve">amended license in </w:t>
      </w:r>
      <w:r w:rsidR="00A703FC" w:rsidRPr="00B06942">
        <w:rPr>
          <w:rFonts w:ascii="Times New Roman" w:hAnsi="Times New Roman" w:cs="Times New Roman"/>
        </w:rPr>
        <w:t xml:space="preserve">a few weeks. </w:t>
      </w:r>
      <w:r w:rsidR="00030414" w:rsidRPr="00B06942">
        <w:rPr>
          <w:rFonts w:ascii="Times New Roman" w:hAnsi="Times New Roman" w:cs="Times New Roman"/>
        </w:rPr>
        <w:t xml:space="preserve">OLAR will verify </w:t>
      </w:r>
      <w:r w:rsidR="009A76D3" w:rsidRPr="00B06942">
        <w:rPr>
          <w:rFonts w:ascii="Times New Roman" w:hAnsi="Times New Roman" w:cs="Times New Roman"/>
        </w:rPr>
        <w:t>the sc</w:t>
      </w:r>
      <w:r w:rsidR="00030414" w:rsidRPr="00B06942">
        <w:rPr>
          <w:rFonts w:ascii="Times New Roman" w:hAnsi="Times New Roman" w:cs="Times New Roman"/>
        </w:rPr>
        <w:t>hedule approval against the CS</w:t>
      </w:r>
      <w:r w:rsidR="009A76D3" w:rsidRPr="00B06942">
        <w:rPr>
          <w:rFonts w:ascii="Times New Roman" w:hAnsi="Times New Roman" w:cs="Times New Roman"/>
        </w:rPr>
        <w:t xml:space="preserve"> re</w:t>
      </w:r>
      <w:r w:rsidR="00B06942">
        <w:rPr>
          <w:rFonts w:ascii="Times New Roman" w:hAnsi="Times New Roman" w:cs="Times New Roman"/>
        </w:rPr>
        <w:t xml:space="preserve">quested, as the DEA </w:t>
      </w:r>
      <w:r w:rsidR="00030414" w:rsidRPr="00B06942">
        <w:rPr>
          <w:rFonts w:ascii="Times New Roman" w:hAnsi="Times New Roman" w:cs="Times New Roman"/>
        </w:rPr>
        <w:t>requires</w:t>
      </w:r>
      <w:r w:rsidR="009A76D3" w:rsidRPr="00B06942">
        <w:rPr>
          <w:rFonts w:ascii="Times New Roman" w:hAnsi="Times New Roman" w:cs="Times New Roman"/>
        </w:rPr>
        <w:t xml:space="preserve">. Below is a table that lists common </w:t>
      </w:r>
      <w:r w:rsidR="00030414" w:rsidRPr="00B06942">
        <w:rPr>
          <w:rFonts w:ascii="Times New Roman" w:hAnsi="Times New Roman" w:cs="Times New Roman"/>
        </w:rPr>
        <w:t>CS</w:t>
      </w:r>
      <w:r w:rsidR="009A76D3" w:rsidRPr="00B06942">
        <w:rPr>
          <w:rFonts w:ascii="Times New Roman" w:hAnsi="Times New Roman" w:cs="Times New Roman"/>
        </w:rPr>
        <w:t xml:space="preserve"> and the </w:t>
      </w:r>
      <w:r w:rsidR="00A703FC" w:rsidRPr="00B06942">
        <w:rPr>
          <w:rFonts w:ascii="Times New Roman" w:hAnsi="Times New Roman" w:cs="Times New Roman"/>
        </w:rPr>
        <w:t>s</w:t>
      </w:r>
      <w:r w:rsidR="009A76D3" w:rsidRPr="00B06942">
        <w:rPr>
          <w:rFonts w:ascii="Times New Roman" w:hAnsi="Times New Roman" w:cs="Times New Roman"/>
        </w:rPr>
        <w:t>ch</w:t>
      </w:r>
      <w:r w:rsidR="00030414" w:rsidRPr="00B06942">
        <w:rPr>
          <w:rFonts w:ascii="Times New Roman" w:hAnsi="Times New Roman" w:cs="Times New Roman"/>
        </w:rPr>
        <w:t xml:space="preserve">edule. </w:t>
      </w:r>
      <w:r w:rsidR="004D3DC0" w:rsidRPr="00B06942">
        <w:rPr>
          <w:rFonts w:ascii="Times New Roman" w:hAnsi="Times New Roman" w:cs="Times New Roman"/>
        </w:rPr>
        <w:t xml:space="preserve">Use this table when </w:t>
      </w:r>
      <w:r w:rsidR="00B06942">
        <w:rPr>
          <w:rFonts w:ascii="Times New Roman" w:hAnsi="Times New Roman" w:cs="Times New Roman"/>
        </w:rPr>
        <w:t xml:space="preserve">you apply for a DEA license or </w:t>
      </w:r>
      <w:r w:rsidR="00030414" w:rsidRPr="00B06942">
        <w:rPr>
          <w:rFonts w:ascii="Times New Roman" w:hAnsi="Times New Roman" w:cs="Times New Roman"/>
        </w:rPr>
        <w:t>amendment</w:t>
      </w:r>
      <w:r w:rsidR="004D3DC0" w:rsidRPr="00B06942">
        <w:rPr>
          <w:rFonts w:ascii="Times New Roman" w:hAnsi="Times New Roman" w:cs="Times New Roman"/>
        </w:rPr>
        <w:t xml:space="preserve">. </w:t>
      </w:r>
    </w:p>
    <w:p w:rsidR="00B06942" w:rsidRDefault="001B6C02" w:rsidP="00B06942">
      <w:pPr>
        <w:contextualSpacing/>
        <w:rPr>
          <w:rFonts w:ascii="Times New Roman" w:hAnsi="Times New Roman" w:cs="Times New Roman"/>
          <w:b/>
          <w:i/>
        </w:rPr>
      </w:pPr>
      <w:r w:rsidRPr="00A703FC">
        <w:rPr>
          <w:rFonts w:ascii="Times New Roman" w:hAnsi="Times New Roman" w:cs="Times New Roman"/>
          <w:b/>
          <w:i/>
        </w:rPr>
        <w:t>Are t</w:t>
      </w:r>
      <w:r w:rsidR="00B06942">
        <w:rPr>
          <w:rFonts w:ascii="Times New Roman" w:hAnsi="Times New Roman" w:cs="Times New Roman"/>
          <w:b/>
          <w:i/>
        </w:rPr>
        <w:t xml:space="preserve">here charges for DEA licenses? </w:t>
      </w:r>
    </w:p>
    <w:p w:rsidR="001B6C02" w:rsidRPr="00B06942" w:rsidRDefault="001B6C02" w:rsidP="00B069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B06942">
        <w:rPr>
          <w:rFonts w:ascii="Times New Roman" w:hAnsi="Times New Roman" w:cs="Times New Roman"/>
        </w:rPr>
        <w:t>As a state employee, no. However, you will need to apply for</w:t>
      </w:r>
      <w:r w:rsidR="009A76D3" w:rsidRPr="00B06942">
        <w:rPr>
          <w:rFonts w:ascii="Times New Roman" w:hAnsi="Times New Roman" w:cs="Times New Roman"/>
        </w:rPr>
        <w:t xml:space="preserve"> both</w:t>
      </w:r>
      <w:r w:rsidRPr="00B06942">
        <w:rPr>
          <w:rFonts w:ascii="Times New Roman" w:hAnsi="Times New Roman" w:cs="Times New Roman"/>
        </w:rPr>
        <w:t xml:space="preserve"> a WV </w:t>
      </w:r>
      <w:r w:rsidR="00B06942">
        <w:rPr>
          <w:rFonts w:ascii="Times New Roman" w:hAnsi="Times New Roman" w:cs="Times New Roman"/>
        </w:rPr>
        <w:t xml:space="preserve">Board of Pharmacy license and a </w:t>
      </w:r>
      <w:r w:rsidR="00030414" w:rsidRPr="00B06942">
        <w:rPr>
          <w:rFonts w:ascii="Times New Roman" w:hAnsi="Times New Roman" w:cs="Times New Roman"/>
        </w:rPr>
        <w:t xml:space="preserve">federal </w:t>
      </w:r>
      <w:r w:rsidRPr="00B06942">
        <w:rPr>
          <w:rFonts w:ascii="Times New Roman" w:hAnsi="Times New Roman" w:cs="Times New Roman"/>
        </w:rPr>
        <w:t xml:space="preserve">DEA license.  </w:t>
      </w:r>
    </w:p>
    <w:p w:rsidR="00B06942" w:rsidRDefault="001B6C02" w:rsidP="00B06942">
      <w:pPr>
        <w:contextualSpacing/>
        <w:rPr>
          <w:rFonts w:ascii="Times New Roman" w:hAnsi="Times New Roman" w:cs="Times New Roman"/>
        </w:rPr>
      </w:pPr>
      <w:r w:rsidRPr="00A703FC">
        <w:rPr>
          <w:rFonts w:ascii="Times New Roman" w:hAnsi="Times New Roman" w:cs="Times New Roman"/>
          <w:b/>
          <w:i/>
        </w:rPr>
        <w:t xml:space="preserve">I’m at WVU but my DEA </w:t>
      </w:r>
      <w:r w:rsidR="00DF13C3">
        <w:rPr>
          <w:rFonts w:ascii="Times New Roman" w:hAnsi="Times New Roman" w:cs="Times New Roman"/>
          <w:b/>
          <w:i/>
        </w:rPr>
        <w:t>CS</w:t>
      </w:r>
      <w:r w:rsidRPr="00A703FC">
        <w:rPr>
          <w:rFonts w:ascii="Times New Roman" w:hAnsi="Times New Roman" w:cs="Times New Roman"/>
          <w:b/>
          <w:i/>
        </w:rPr>
        <w:t xml:space="preserve"> are used for teaching a cou</w:t>
      </w:r>
      <w:r w:rsidR="009A76D3" w:rsidRPr="00A703FC">
        <w:rPr>
          <w:rFonts w:ascii="Times New Roman" w:hAnsi="Times New Roman" w:cs="Times New Roman"/>
          <w:b/>
          <w:i/>
        </w:rPr>
        <w:t>rse or workshop, not necessarily for research. W</w:t>
      </w:r>
      <w:r w:rsidRPr="00A703FC">
        <w:rPr>
          <w:rFonts w:ascii="Times New Roman" w:hAnsi="Times New Roman" w:cs="Times New Roman"/>
          <w:b/>
          <w:i/>
        </w:rPr>
        <w:t xml:space="preserve">hat </w:t>
      </w:r>
      <w:r w:rsidR="009A76D3" w:rsidRPr="00A703FC">
        <w:rPr>
          <w:rFonts w:ascii="Times New Roman" w:hAnsi="Times New Roman" w:cs="Times New Roman"/>
          <w:b/>
          <w:i/>
        </w:rPr>
        <w:t>category</w:t>
      </w:r>
      <w:r w:rsidRPr="00A703FC">
        <w:rPr>
          <w:rFonts w:ascii="Times New Roman" w:hAnsi="Times New Roman" w:cs="Times New Roman"/>
          <w:b/>
          <w:i/>
        </w:rPr>
        <w:t xml:space="preserve"> of license </w:t>
      </w:r>
      <w:r w:rsidR="009A76D3" w:rsidRPr="00A703FC">
        <w:rPr>
          <w:rFonts w:ascii="Times New Roman" w:hAnsi="Times New Roman" w:cs="Times New Roman"/>
          <w:b/>
          <w:i/>
        </w:rPr>
        <w:t>do</w:t>
      </w:r>
      <w:r w:rsidRPr="00A703FC">
        <w:rPr>
          <w:rFonts w:ascii="Times New Roman" w:hAnsi="Times New Roman" w:cs="Times New Roman"/>
          <w:b/>
          <w:i/>
        </w:rPr>
        <w:t xml:space="preserve"> I apply for?</w:t>
      </w:r>
      <w:r w:rsidRPr="00A703FC">
        <w:rPr>
          <w:rFonts w:ascii="Times New Roman" w:hAnsi="Times New Roman" w:cs="Times New Roman"/>
        </w:rPr>
        <w:t xml:space="preserve"> </w:t>
      </w:r>
    </w:p>
    <w:p w:rsidR="001B6C02" w:rsidRPr="00B06942" w:rsidRDefault="001B6C02" w:rsidP="00B069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6942">
        <w:rPr>
          <w:rFonts w:ascii="Times New Roman" w:hAnsi="Times New Roman" w:cs="Times New Roman"/>
        </w:rPr>
        <w:t xml:space="preserve">Even though you are using the license for teaching, </w:t>
      </w:r>
      <w:r w:rsidR="009A76D3" w:rsidRPr="00B06942">
        <w:rPr>
          <w:rFonts w:ascii="Times New Roman" w:hAnsi="Times New Roman" w:cs="Times New Roman"/>
        </w:rPr>
        <w:t>you are at a research institution</w:t>
      </w:r>
      <w:r w:rsidR="00B06942">
        <w:rPr>
          <w:rFonts w:ascii="Times New Roman" w:hAnsi="Times New Roman" w:cs="Times New Roman"/>
        </w:rPr>
        <w:t xml:space="preserve"> that teaches research </w:t>
      </w:r>
      <w:r w:rsidR="00DF13C3" w:rsidRPr="00B06942">
        <w:rPr>
          <w:rFonts w:ascii="Times New Roman" w:hAnsi="Times New Roman" w:cs="Times New Roman"/>
        </w:rPr>
        <w:t xml:space="preserve">methods. For licensing purposed </w:t>
      </w:r>
      <w:r w:rsidRPr="00B06942">
        <w:rPr>
          <w:rFonts w:ascii="Times New Roman" w:hAnsi="Times New Roman" w:cs="Times New Roman"/>
        </w:rPr>
        <w:t>the DEA</w:t>
      </w:r>
      <w:r w:rsidR="00030414" w:rsidRPr="00B06942">
        <w:rPr>
          <w:rFonts w:ascii="Times New Roman" w:hAnsi="Times New Roman" w:cs="Times New Roman"/>
        </w:rPr>
        <w:t xml:space="preserve"> still considers you </w:t>
      </w:r>
      <w:r w:rsidR="004F781F" w:rsidRPr="00B06942">
        <w:rPr>
          <w:rFonts w:ascii="Times New Roman" w:hAnsi="Times New Roman" w:cs="Times New Roman"/>
        </w:rPr>
        <w:t xml:space="preserve">a researcher </w:t>
      </w:r>
      <w:r w:rsidRPr="00B06942">
        <w:rPr>
          <w:rFonts w:ascii="Times New Roman" w:hAnsi="Times New Roman" w:cs="Times New Roman"/>
        </w:rPr>
        <w:t>and w</w:t>
      </w:r>
      <w:r w:rsidR="005A5AB1" w:rsidRPr="00B06942">
        <w:rPr>
          <w:rFonts w:ascii="Times New Roman" w:hAnsi="Times New Roman" w:cs="Times New Roman"/>
        </w:rPr>
        <w:t>ould require that license type.</w:t>
      </w:r>
      <w:r w:rsidR="00B06942">
        <w:rPr>
          <w:rFonts w:ascii="Times New Roman" w:hAnsi="Times New Roman" w:cs="Times New Roman"/>
        </w:rPr>
        <w:t xml:space="preserve"> </w:t>
      </w:r>
      <w:r w:rsidR="004F781F" w:rsidRPr="00B06942">
        <w:rPr>
          <w:rFonts w:ascii="Times New Roman" w:hAnsi="Times New Roman" w:cs="Times New Roman"/>
        </w:rPr>
        <w:t>Ag</w:t>
      </w:r>
      <w:r w:rsidR="009A76D3" w:rsidRPr="00B06942">
        <w:rPr>
          <w:rFonts w:ascii="Times New Roman" w:hAnsi="Times New Roman" w:cs="Times New Roman"/>
        </w:rPr>
        <w:t>ain</w:t>
      </w:r>
      <w:r w:rsidRPr="00B06942">
        <w:rPr>
          <w:rFonts w:ascii="Times New Roman" w:hAnsi="Times New Roman" w:cs="Times New Roman"/>
        </w:rPr>
        <w:t xml:space="preserve">, </w:t>
      </w:r>
      <w:r w:rsidR="00030414" w:rsidRPr="00B06942">
        <w:rPr>
          <w:rFonts w:ascii="Times New Roman" w:hAnsi="Times New Roman" w:cs="Times New Roman"/>
        </w:rPr>
        <w:t xml:space="preserve">the CS in </w:t>
      </w:r>
      <w:r w:rsidR="00DF13C3" w:rsidRPr="00B06942">
        <w:rPr>
          <w:rFonts w:ascii="Times New Roman" w:hAnsi="Times New Roman" w:cs="Times New Roman"/>
        </w:rPr>
        <w:t xml:space="preserve">your </w:t>
      </w:r>
      <w:bookmarkStart w:id="0" w:name="_GoBack"/>
      <w:bookmarkEnd w:id="0"/>
      <w:r w:rsidR="00DF13C3" w:rsidRPr="00B06942">
        <w:rPr>
          <w:rFonts w:ascii="Times New Roman" w:hAnsi="Times New Roman" w:cs="Times New Roman"/>
        </w:rPr>
        <w:t>A</w:t>
      </w:r>
      <w:r w:rsidRPr="00B06942">
        <w:rPr>
          <w:rFonts w:ascii="Times New Roman" w:hAnsi="Times New Roman" w:cs="Times New Roman"/>
        </w:rPr>
        <w:t>CUC</w:t>
      </w:r>
      <w:r w:rsidR="009A76D3" w:rsidRPr="00B06942">
        <w:rPr>
          <w:rFonts w:ascii="Times New Roman" w:hAnsi="Times New Roman" w:cs="Times New Roman"/>
        </w:rPr>
        <w:t xml:space="preserve"> teaching</w:t>
      </w:r>
      <w:r w:rsidRPr="00B06942">
        <w:rPr>
          <w:rFonts w:ascii="Times New Roman" w:hAnsi="Times New Roman" w:cs="Times New Roman"/>
        </w:rPr>
        <w:t xml:space="preserve"> protocol </w:t>
      </w:r>
      <w:r w:rsidR="00030414" w:rsidRPr="00B06942">
        <w:rPr>
          <w:rFonts w:ascii="Times New Roman" w:hAnsi="Times New Roman" w:cs="Times New Roman"/>
        </w:rPr>
        <w:t>needs to match the</w:t>
      </w:r>
      <w:r w:rsidRPr="00B06942">
        <w:rPr>
          <w:rFonts w:ascii="Times New Roman" w:hAnsi="Times New Roman" w:cs="Times New Roman"/>
        </w:rPr>
        <w:t xml:space="preserve"> s</w:t>
      </w:r>
      <w:r w:rsidR="00030414" w:rsidRPr="00B06942">
        <w:rPr>
          <w:rFonts w:ascii="Times New Roman" w:hAnsi="Times New Roman" w:cs="Times New Roman"/>
        </w:rPr>
        <w:t xml:space="preserve">chedule of drugs on your DEA license. </w:t>
      </w:r>
    </w:p>
    <w:p w:rsidR="005A5AB1" w:rsidRDefault="005A5AB1" w:rsidP="00B06942">
      <w:pPr>
        <w:contextualSpacing/>
        <w:rPr>
          <w:rFonts w:ascii="Times New Roman" w:hAnsi="Times New Roman" w:cs="Times New Roman"/>
        </w:rPr>
      </w:pPr>
    </w:p>
    <w:p w:rsidR="00B06942" w:rsidRDefault="00B06942" w:rsidP="00B06942">
      <w:pPr>
        <w:contextualSpacing/>
        <w:rPr>
          <w:rFonts w:ascii="Times New Roman" w:hAnsi="Times New Roman" w:cs="Times New Roman"/>
        </w:rPr>
      </w:pPr>
    </w:p>
    <w:p w:rsidR="005870AC" w:rsidRDefault="005A5AB1" w:rsidP="00B0694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</w:t>
      </w:r>
      <w:r w:rsidR="005870AC" w:rsidRPr="00A703FC">
        <w:rPr>
          <w:rFonts w:ascii="Times New Roman" w:hAnsi="Times New Roman" w:cs="Times New Roman"/>
        </w:rPr>
        <w:t>ommonly used DEA controlled drugs used in animals and their DEA schedule classification for permitting purposes.</w:t>
      </w:r>
    </w:p>
    <w:p w:rsidR="005A5AB1" w:rsidRPr="00A703FC" w:rsidRDefault="005A5AB1" w:rsidP="00B06942">
      <w:pPr>
        <w:contextualSpacing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5130"/>
        <w:gridCol w:w="2435"/>
      </w:tblGrid>
      <w:tr w:rsidR="005870AC" w:rsidRPr="00A703FC" w:rsidTr="005A5AB1">
        <w:trPr>
          <w:trHeight w:val="432"/>
          <w:jc w:val="center"/>
        </w:trPr>
        <w:tc>
          <w:tcPr>
            <w:tcW w:w="2875" w:type="dxa"/>
            <w:vAlign w:val="center"/>
          </w:tcPr>
          <w:p w:rsidR="005870AC" w:rsidRPr="00A703FC" w:rsidRDefault="005870AC" w:rsidP="00B0694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703FC">
              <w:rPr>
                <w:rFonts w:ascii="Times New Roman" w:hAnsi="Times New Roman" w:cs="Times New Roman"/>
                <w:b/>
              </w:rPr>
              <w:t>Drug or chemical ID</w:t>
            </w:r>
          </w:p>
        </w:tc>
        <w:tc>
          <w:tcPr>
            <w:tcW w:w="5130" w:type="dxa"/>
            <w:vAlign w:val="center"/>
          </w:tcPr>
          <w:p w:rsidR="00AC53A4" w:rsidRPr="00A703FC" w:rsidRDefault="005870AC" w:rsidP="00B0694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703FC">
              <w:rPr>
                <w:rFonts w:ascii="Times New Roman" w:hAnsi="Times New Roman" w:cs="Times New Roman"/>
                <w:b/>
              </w:rPr>
              <w:t>Alternate names</w:t>
            </w:r>
            <w:r w:rsidR="004F781F" w:rsidRPr="00A703F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870AC" w:rsidRPr="00A703FC" w:rsidRDefault="004F781F" w:rsidP="00B069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703FC">
              <w:rPr>
                <w:rFonts w:ascii="Times New Roman" w:hAnsi="Times New Roman" w:cs="Times New Roman"/>
              </w:rPr>
              <w:t>(including, but not limited to)</w:t>
            </w:r>
          </w:p>
        </w:tc>
        <w:tc>
          <w:tcPr>
            <w:tcW w:w="2435" w:type="dxa"/>
            <w:vAlign w:val="center"/>
          </w:tcPr>
          <w:p w:rsidR="005870AC" w:rsidRPr="00A703FC" w:rsidRDefault="005870AC" w:rsidP="00B069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703FC">
              <w:rPr>
                <w:rFonts w:ascii="Times New Roman" w:hAnsi="Times New Roman" w:cs="Times New Roman"/>
                <w:b/>
              </w:rPr>
              <w:t>Schedule Classification</w:t>
            </w:r>
            <w:r w:rsidRPr="00A703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70AC" w:rsidRPr="00A703FC" w:rsidTr="005A5AB1">
        <w:trPr>
          <w:trHeight w:val="432"/>
          <w:jc w:val="center"/>
        </w:trPr>
        <w:tc>
          <w:tcPr>
            <w:tcW w:w="2875" w:type="dxa"/>
            <w:vAlign w:val="center"/>
          </w:tcPr>
          <w:p w:rsidR="005870AC" w:rsidRPr="00A703FC" w:rsidRDefault="005870AC" w:rsidP="00B06942">
            <w:pPr>
              <w:contextualSpacing/>
              <w:rPr>
                <w:rFonts w:ascii="Times New Roman" w:hAnsi="Times New Roman" w:cs="Times New Roman"/>
              </w:rPr>
            </w:pPr>
            <w:r w:rsidRPr="00A703FC">
              <w:rPr>
                <w:rFonts w:ascii="Times New Roman" w:hAnsi="Times New Roman" w:cs="Times New Roman"/>
              </w:rPr>
              <w:t>Pentobarbital Sodium</w:t>
            </w:r>
            <w:r w:rsidR="006002D6" w:rsidRPr="00A703F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130" w:type="dxa"/>
            <w:vAlign w:val="center"/>
          </w:tcPr>
          <w:p w:rsidR="005870AC" w:rsidRPr="00A703FC" w:rsidRDefault="005870AC" w:rsidP="00B06942">
            <w:pPr>
              <w:contextualSpacing/>
              <w:rPr>
                <w:rFonts w:ascii="Times New Roman" w:hAnsi="Times New Roman" w:cs="Times New Roman"/>
              </w:rPr>
            </w:pPr>
            <w:r w:rsidRPr="00A703FC">
              <w:rPr>
                <w:rFonts w:ascii="Times New Roman" w:hAnsi="Times New Roman" w:cs="Times New Roman"/>
              </w:rPr>
              <w:t>Nembutal, pentobarbital</w:t>
            </w:r>
            <w:r w:rsidR="00030414">
              <w:rPr>
                <w:rFonts w:ascii="Times New Roman" w:hAnsi="Times New Roman" w:cs="Times New Roman"/>
              </w:rPr>
              <w:t>, s</w:t>
            </w:r>
            <w:r w:rsidR="006002D6" w:rsidRPr="00A703FC">
              <w:rPr>
                <w:rFonts w:ascii="Times New Roman" w:hAnsi="Times New Roman" w:cs="Times New Roman"/>
              </w:rPr>
              <w:t>odium pentobarbital</w:t>
            </w:r>
          </w:p>
        </w:tc>
        <w:tc>
          <w:tcPr>
            <w:tcW w:w="2435" w:type="dxa"/>
            <w:vAlign w:val="center"/>
          </w:tcPr>
          <w:p w:rsidR="005870AC" w:rsidRPr="00A703FC" w:rsidRDefault="005870AC" w:rsidP="00B069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703FC">
              <w:rPr>
                <w:rFonts w:ascii="Times New Roman" w:hAnsi="Times New Roman" w:cs="Times New Roman"/>
              </w:rPr>
              <w:t>II</w:t>
            </w:r>
          </w:p>
        </w:tc>
      </w:tr>
      <w:tr w:rsidR="005870AC" w:rsidRPr="00A703FC" w:rsidTr="005A5AB1">
        <w:trPr>
          <w:trHeight w:val="432"/>
          <w:jc w:val="center"/>
        </w:trPr>
        <w:tc>
          <w:tcPr>
            <w:tcW w:w="2875" w:type="dxa"/>
            <w:vAlign w:val="center"/>
          </w:tcPr>
          <w:p w:rsidR="005870AC" w:rsidRPr="00A703FC" w:rsidRDefault="005870AC" w:rsidP="00B06942">
            <w:pPr>
              <w:contextualSpacing/>
              <w:rPr>
                <w:rFonts w:ascii="Times New Roman" w:hAnsi="Times New Roman" w:cs="Times New Roman"/>
              </w:rPr>
            </w:pPr>
            <w:r w:rsidRPr="00A703FC">
              <w:rPr>
                <w:rFonts w:ascii="Times New Roman" w:hAnsi="Times New Roman" w:cs="Times New Roman"/>
              </w:rPr>
              <w:t xml:space="preserve">Ketamine </w:t>
            </w:r>
            <w:proofErr w:type="spellStart"/>
            <w:r w:rsidRPr="00A703FC">
              <w:rPr>
                <w:rFonts w:ascii="Times New Roman" w:hAnsi="Times New Roman" w:cs="Times New Roman"/>
              </w:rPr>
              <w:t>HCl</w:t>
            </w:r>
            <w:proofErr w:type="spellEnd"/>
          </w:p>
        </w:tc>
        <w:tc>
          <w:tcPr>
            <w:tcW w:w="5130" w:type="dxa"/>
            <w:vAlign w:val="center"/>
          </w:tcPr>
          <w:p w:rsidR="005870AC" w:rsidRPr="00A703FC" w:rsidRDefault="005870AC" w:rsidP="00B0694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A703FC">
              <w:rPr>
                <w:rFonts w:ascii="Times New Roman" w:hAnsi="Times New Roman" w:cs="Times New Roman"/>
              </w:rPr>
              <w:t>Vetalar</w:t>
            </w:r>
            <w:proofErr w:type="spellEnd"/>
            <w:r w:rsidRPr="00A703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3FC">
              <w:rPr>
                <w:rFonts w:ascii="Times New Roman" w:hAnsi="Times New Roman" w:cs="Times New Roman"/>
              </w:rPr>
              <w:t>Ketalar</w:t>
            </w:r>
            <w:proofErr w:type="spellEnd"/>
            <w:r w:rsidR="004F781F" w:rsidRPr="00A703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F781F" w:rsidRPr="00A703FC">
              <w:rPr>
                <w:rFonts w:ascii="Times New Roman" w:hAnsi="Times New Roman" w:cs="Times New Roman"/>
              </w:rPr>
              <w:t>Ketaset</w:t>
            </w:r>
            <w:proofErr w:type="spellEnd"/>
          </w:p>
        </w:tc>
        <w:tc>
          <w:tcPr>
            <w:tcW w:w="2435" w:type="dxa"/>
            <w:vAlign w:val="center"/>
          </w:tcPr>
          <w:p w:rsidR="005870AC" w:rsidRPr="00A703FC" w:rsidRDefault="005870AC" w:rsidP="00B069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703FC">
              <w:rPr>
                <w:rFonts w:ascii="Times New Roman" w:hAnsi="Times New Roman" w:cs="Times New Roman"/>
              </w:rPr>
              <w:t>III</w:t>
            </w:r>
          </w:p>
        </w:tc>
      </w:tr>
      <w:tr w:rsidR="005870AC" w:rsidRPr="00A703FC" w:rsidTr="005A5AB1">
        <w:trPr>
          <w:trHeight w:val="432"/>
          <w:jc w:val="center"/>
        </w:trPr>
        <w:tc>
          <w:tcPr>
            <w:tcW w:w="2875" w:type="dxa"/>
            <w:vAlign w:val="center"/>
          </w:tcPr>
          <w:p w:rsidR="005870AC" w:rsidRPr="00A703FC" w:rsidRDefault="005870AC" w:rsidP="00B06942">
            <w:pPr>
              <w:contextualSpacing/>
              <w:rPr>
                <w:rFonts w:ascii="Times New Roman" w:hAnsi="Times New Roman" w:cs="Times New Roman"/>
              </w:rPr>
            </w:pPr>
            <w:r w:rsidRPr="00A703FC">
              <w:rPr>
                <w:rFonts w:ascii="Times New Roman" w:hAnsi="Times New Roman" w:cs="Times New Roman"/>
              </w:rPr>
              <w:t>Buprenorphine</w:t>
            </w:r>
          </w:p>
        </w:tc>
        <w:tc>
          <w:tcPr>
            <w:tcW w:w="5130" w:type="dxa"/>
            <w:vAlign w:val="center"/>
          </w:tcPr>
          <w:p w:rsidR="005870AC" w:rsidRPr="00A703FC" w:rsidRDefault="00030414" w:rsidP="00B0694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buprenorphine </w:t>
            </w:r>
            <w:proofErr w:type="spellStart"/>
            <w:r>
              <w:rPr>
                <w:rFonts w:ascii="Times New Roman" w:hAnsi="Times New Roman" w:cs="Times New Roman"/>
              </w:rPr>
              <w:t>HCl</w:t>
            </w:r>
            <w:proofErr w:type="spellEnd"/>
            <w:r>
              <w:rPr>
                <w:rFonts w:ascii="Times New Roman" w:hAnsi="Times New Roman" w:cs="Times New Roman"/>
              </w:rPr>
              <w:t>, b</w:t>
            </w:r>
            <w:r w:rsidR="005870AC" w:rsidRPr="00A703FC">
              <w:rPr>
                <w:rFonts w:ascii="Times New Roman" w:hAnsi="Times New Roman" w:cs="Times New Roman"/>
              </w:rPr>
              <w:t xml:space="preserve">uprenorphine-SR, </w:t>
            </w:r>
            <w:proofErr w:type="spellStart"/>
            <w:r w:rsidR="005870AC" w:rsidRPr="00A703FC">
              <w:rPr>
                <w:rFonts w:ascii="Times New Roman" w:hAnsi="Times New Roman" w:cs="Times New Roman"/>
              </w:rPr>
              <w:t>Buprenex</w:t>
            </w:r>
            <w:proofErr w:type="spellEnd"/>
          </w:p>
        </w:tc>
        <w:tc>
          <w:tcPr>
            <w:tcW w:w="2435" w:type="dxa"/>
            <w:vAlign w:val="center"/>
          </w:tcPr>
          <w:p w:rsidR="005870AC" w:rsidRPr="00A703FC" w:rsidRDefault="004F781F" w:rsidP="00B069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703FC">
              <w:rPr>
                <w:rFonts w:ascii="Times New Roman" w:hAnsi="Times New Roman" w:cs="Times New Roman"/>
              </w:rPr>
              <w:t>III</w:t>
            </w:r>
          </w:p>
        </w:tc>
      </w:tr>
      <w:tr w:rsidR="005870AC" w:rsidRPr="00A703FC" w:rsidTr="005A5AB1">
        <w:trPr>
          <w:trHeight w:val="432"/>
          <w:jc w:val="center"/>
        </w:trPr>
        <w:tc>
          <w:tcPr>
            <w:tcW w:w="2875" w:type="dxa"/>
            <w:vAlign w:val="center"/>
          </w:tcPr>
          <w:p w:rsidR="005870AC" w:rsidRPr="00A703FC" w:rsidRDefault="005870AC" w:rsidP="00B06942">
            <w:pPr>
              <w:contextualSpacing/>
              <w:rPr>
                <w:rFonts w:ascii="Times New Roman" w:hAnsi="Times New Roman" w:cs="Times New Roman"/>
              </w:rPr>
            </w:pPr>
            <w:r w:rsidRPr="00A703FC">
              <w:rPr>
                <w:rFonts w:ascii="Times New Roman" w:hAnsi="Times New Roman" w:cs="Times New Roman"/>
              </w:rPr>
              <w:t>Fatal-Plus</w:t>
            </w:r>
            <w:r w:rsidR="006002D6" w:rsidRPr="00A703F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130" w:type="dxa"/>
            <w:vAlign w:val="center"/>
          </w:tcPr>
          <w:p w:rsidR="005870AC" w:rsidRPr="00A703FC" w:rsidRDefault="006002D6" w:rsidP="00B0694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A703FC">
              <w:rPr>
                <w:rFonts w:ascii="Times New Roman" w:hAnsi="Times New Roman" w:cs="Times New Roman"/>
              </w:rPr>
              <w:t>Beuthanasia</w:t>
            </w:r>
            <w:proofErr w:type="spellEnd"/>
            <w:r w:rsidRPr="00A703FC">
              <w:rPr>
                <w:rFonts w:ascii="Times New Roman" w:hAnsi="Times New Roman" w:cs="Times New Roman"/>
              </w:rPr>
              <w:t xml:space="preserve">-D, </w:t>
            </w:r>
            <w:proofErr w:type="spellStart"/>
            <w:r w:rsidRPr="00A703FC">
              <w:rPr>
                <w:rFonts w:ascii="Times New Roman" w:hAnsi="Times New Roman" w:cs="Times New Roman"/>
              </w:rPr>
              <w:t>Euthasol</w:t>
            </w:r>
            <w:proofErr w:type="spellEnd"/>
            <w:r w:rsidRPr="00A703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3FC">
              <w:rPr>
                <w:rFonts w:ascii="Times New Roman" w:hAnsi="Times New Roman" w:cs="Times New Roman"/>
              </w:rPr>
              <w:t>Sleepaway</w:t>
            </w:r>
            <w:proofErr w:type="spellEnd"/>
            <w:r w:rsidRPr="00A703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3FC">
              <w:rPr>
                <w:rFonts w:ascii="Times New Roman" w:hAnsi="Times New Roman" w:cs="Times New Roman"/>
              </w:rPr>
              <w:t>Socumb</w:t>
            </w:r>
            <w:proofErr w:type="spellEnd"/>
          </w:p>
        </w:tc>
        <w:tc>
          <w:tcPr>
            <w:tcW w:w="2435" w:type="dxa"/>
            <w:vAlign w:val="center"/>
          </w:tcPr>
          <w:p w:rsidR="005870AC" w:rsidRPr="00A703FC" w:rsidRDefault="004F781F" w:rsidP="00B069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703FC">
              <w:rPr>
                <w:rFonts w:ascii="Times New Roman" w:hAnsi="Times New Roman" w:cs="Times New Roman"/>
              </w:rPr>
              <w:t>II</w:t>
            </w:r>
          </w:p>
        </w:tc>
      </w:tr>
      <w:tr w:rsidR="005870AC" w:rsidRPr="00A703FC" w:rsidTr="005A5AB1">
        <w:trPr>
          <w:trHeight w:val="432"/>
          <w:jc w:val="center"/>
        </w:trPr>
        <w:tc>
          <w:tcPr>
            <w:tcW w:w="2875" w:type="dxa"/>
            <w:vAlign w:val="center"/>
          </w:tcPr>
          <w:p w:rsidR="005870AC" w:rsidRPr="00A703FC" w:rsidRDefault="005870AC" w:rsidP="00B06942">
            <w:pPr>
              <w:contextualSpacing/>
              <w:rPr>
                <w:rFonts w:ascii="Times New Roman" w:hAnsi="Times New Roman" w:cs="Times New Roman"/>
              </w:rPr>
            </w:pPr>
            <w:r w:rsidRPr="00A703FC">
              <w:rPr>
                <w:rFonts w:ascii="Times New Roman" w:hAnsi="Times New Roman" w:cs="Times New Roman"/>
              </w:rPr>
              <w:t>Diazepam</w:t>
            </w:r>
          </w:p>
        </w:tc>
        <w:tc>
          <w:tcPr>
            <w:tcW w:w="5130" w:type="dxa"/>
            <w:vAlign w:val="center"/>
          </w:tcPr>
          <w:p w:rsidR="005870AC" w:rsidRPr="00A703FC" w:rsidRDefault="005870AC" w:rsidP="00B06942">
            <w:pPr>
              <w:contextualSpacing/>
              <w:rPr>
                <w:rFonts w:ascii="Times New Roman" w:hAnsi="Times New Roman" w:cs="Times New Roman"/>
              </w:rPr>
            </w:pPr>
            <w:r w:rsidRPr="00A703FC">
              <w:rPr>
                <w:rFonts w:ascii="Times New Roman" w:hAnsi="Times New Roman" w:cs="Times New Roman"/>
              </w:rPr>
              <w:t>Valium</w:t>
            </w:r>
          </w:p>
        </w:tc>
        <w:tc>
          <w:tcPr>
            <w:tcW w:w="2435" w:type="dxa"/>
            <w:vAlign w:val="center"/>
          </w:tcPr>
          <w:p w:rsidR="005870AC" w:rsidRPr="00A703FC" w:rsidRDefault="004F781F" w:rsidP="00B069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703FC">
              <w:rPr>
                <w:rFonts w:ascii="Times New Roman" w:hAnsi="Times New Roman" w:cs="Times New Roman"/>
              </w:rPr>
              <w:t>IV</w:t>
            </w:r>
          </w:p>
        </w:tc>
      </w:tr>
      <w:tr w:rsidR="005870AC" w:rsidRPr="00A703FC" w:rsidTr="005A5AB1">
        <w:trPr>
          <w:trHeight w:val="432"/>
          <w:jc w:val="center"/>
        </w:trPr>
        <w:tc>
          <w:tcPr>
            <w:tcW w:w="2875" w:type="dxa"/>
            <w:vAlign w:val="center"/>
          </w:tcPr>
          <w:p w:rsidR="005870AC" w:rsidRPr="00A703FC" w:rsidRDefault="005870AC" w:rsidP="00B06942">
            <w:pPr>
              <w:contextualSpacing/>
              <w:rPr>
                <w:rFonts w:ascii="Times New Roman" w:hAnsi="Times New Roman" w:cs="Times New Roman"/>
              </w:rPr>
            </w:pPr>
            <w:r w:rsidRPr="00A703FC">
              <w:rPr>
                <w:rFonts w:ascii="Times New Roman" w:hAnsi="Times New Roman" w:cs="Times New Roman"/>
              </w:rPr>
              <w:t>Midazolam</w:t>
            </w:r>
          </w:p>
        </w:tc>
        <w:tc>
          <w:tcPr>
            <w:tcW w:w="5130" w:type="dxa"/>
            <w:vAlign w:val="center"/>
          </w:tcPr>
          <w:p w:rsidR="005870AC" w:rsidRPr="00A703FC" w:rsidRDefault="006002D6" w:rsidP="00B06942">
            <w:pPr>
              <w:contextualSpacing/>
              <w:rPr>
                <w:rFonts w:ascii="Times New Roman" w:hAnsi="Times New Roman" w:cs="Times New Roman"/>
              </w:rPr>
            </w:pPr>
            <w:r w:rsidRPr="00A703FC">
              <w:rPr>
                <w:rFonts w:ascii="Times New Roman" w:hAnsi="Times New Roman" w:cs="Times New Roman"/>
              </w:rPr>
              <w:t>Versed</w:t>
            </w:r>
          </w:p>
        </w:tc>
        <w:tc>
          <w:tcPr>
            <w:tcW w:w="2435" w:type="dxa"/>
            <w:vAlign w:val="center"/>
          </w:tcPr>
          <w:p w:rsidR="005870AC" w:rsidRPr="00A703FC" w:rsidRDefault="004F781F" w:rsidP="00B069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703FC">
              <w:rPr>
                <w:rFonts w:ascii="Times New Roman" w:hAnsi="Times New Roman" w:cs="Times New Roman"/>
              </w:rPr>
              <w:t>IV</w:t>
            </w:r>
          </w:p>
        </w:tc>
      </w:tr>
      <w:tr w:rsidR="005870AC" w:rsidRPr="00A703FC" w:rsidTr="005A5AB1">
        <w:trPr>
          <w:trHeight w:val="432"/>
          <w:jc w:val="center"/>
        </w:trPr>
        <w:tc>
          <w:tcPr>
            <w:tcW w:w="2875" w:type="dxa"/>
            <w:vAlign w:val="center"/>
          </w:tcPr>
          <w:p w:rsidR="005870AC" w:rsidRPr="00A703FC" w:rsidRDefault="005870AC" w:rsidP="00B06942">
            <w:pPr>
              <w:contextualSpacing/>
              <w:rPr>
                <w:rFonts w:ascii="Times New Roman" w:hAnsi="Times New Roman" w:cs="Times New Roman"/>
              </w:rPr>
            </w:pPr>
            <w:r w:rsidRPr="00A703FC">
              <w:rPr>
                <w:rFonts w:ascii="Times New Roman" w:hAnsi="Times New Roman" w:cs="Times New Roman"/>
              </w:rPr>
              <w:t>Phenobarbital</w:t>
            </w:r>
          </w:p>
        </w:tc>
        <w:tc>
          <w:tcPr>
            <w:tcW w:w="5130" w:type="dxa"/>
            <w:vAlign w:val="center"/>
          </w:tcPr>
          <w:p w:rsidR="005870AC" w:rsidRPr="00A703FC" w:rsidRDefault="006002D6" w:rsidP="00B0694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A703FC">
              <w:rPr>
                <w:rFonts w:ascii="Times New Roman" w:hAnsi="Times New Roman" w:cs="Times New Roman"/>
              </w:rPr>
              <w:t>Luminol</w:t>
            </w:r>
            <w:proofErr w:type="spellEnd"/>
          </w:p>
        </w:tc>
        <w:tc>
          <w:tcPr>
            <w:tcW w:w="2435" w:type="dxa"/>
            <w:vAlign w:val="center"/>
          </w:tcPr>
          <w:p w:rsidR="005870AC" w:rsidRPr="00A703FC" w:rsidRDefault="004F781F" w:rsidP="00B069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703FC">
              <w:rPr>
                <w:rFonts w:ascii="Times New Roman" w:hAnsi="Times New Roman" w:cs="Times New Roman"/>
              </w:rPr>
              <w:t>IV</w:t>
            </w:r>
          </w:p>
        </w:tc>
      </w:tr>
      <w:tr w:rsidR="005870AC" w:rsidRPr="00A703FC" w:rsidTr="005A5AB1">
        <w:trPr>
          <w:trHeight w:val="432"/>
          <w:jc w:val="center"/>
        </w:trPr>
        <w:tc>
          <w:tcPr>
            <w:tcW w:w="2875" w:type="dxa"/>
            <w:vAlign w:val="center"/>
          </w:tcPr>
          <w:p w:rsidR="005870AC" w:rsidRPr="00A703FC" w:rsidRDefault="004F781F" w:rsidP="00B0694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A703FC">
              <w:rPr>
                <w:rFonts w:ascii="Times New Roman" w:hAnsi="Times New Roman" w:cs="Times New Roman"/>
              </w:rPr>
              <w:t>Thiobutabarbital</w:t>
            </w:r>
            <w:proofErr w:type="spellEnd"/>
          </w:p>
        </w:tc>
        <w:tc>
          <w:tcPr>
            <w:tcW w:w="5130" w:type="dxa"/>
            <w:vAlign w:val="center"/>
          </w:tcPr>
          <w:p w:rsidR="005870AC" w:rsidRPr="00A703FC" w:rsidRDefault="005870AC" w:rsidP="00B0694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A703FC">
              <w:rPr>
                <w:rFonts w:ascii="Times New Roman" w:hAnsi="Times New Roman" w:cs="Times New Roman"/>
              </w:rPr>
              <w:t>Inactin</w:t>
            </w:r>
            <w:proofErr w:type="spellEnd"/>
          </w:p>
        </w:tc>
        <w:tc>
          <w:tcPr>
            <w:tcW w:w="2435" w:type="dxa"/>
            <w:vAlign w:val="center"/>
          </w:tcPr>
          <w:p w:rsidR="005870AC" w:rsidRPr="00A703FC" w:rsidRDefault="00030414" w:rsidP="00B069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</w:tr>
      <w:tr w:rsidR="005870AC" w:rsidRPr="00A703FC" w:rsidTr="005A5AB1">
        <w:trPr>
          <w:trHeight w:val="432"/>
          <w:jc w:val="center"/>
        </w:trPr>
        <w:tc>
          <w:tcPr>
            <w:tcW w:w="2875" w:type="dxa"/>
            <w:vAlign w:val="center"/>
          </w:tcPr>
          <w:p w:rsidR="005870AC" w:rsidRPr="00A703FC" w:rsidRDefault="00030414" w:rsidP="00B0694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5870AC" w:rsidRPr="00A703FC">
              <w:rPr>
                <w:rFonts w:ascii="Times New Roman" w:hAnsi="Times New Roman" w:cs="Times New Roman"/>
              </w:rPr>
              <w:t>entanyl</w:t>
            </w:r>
          </w:p>
        </w:tc>
        <w:tc>
          <w:tcPr>
            <w:tcW w:w="5130" w:type="dxa"/>
            <w:vAlign w:val="center"/>
          </w:tcPr>
          <w:p w:rsidR="005870AC" w:rsidRPr="00A703FC" w:rsidRDefault="005870AC" w:rsidP="00B0694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A703FC">
              <w:rPr>
                <w:rFonts w:ascii="Times New Roman" w:hAnsi="Times New Roman" w:cs="Times New Roman"/>
              </w:rPr>
              <w:t>Durogesic</w:t>
            </w:r>
            <w:proofErr w:type="spellEnd"/>
            <w:r w:rsidRPr="00A703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002D6" w:rsidRPr="00A703FC">
              <w:rPr>
                <w:rFonts w:ascii="Times New Roman" w:hAnsi="Times New Roman" w:cs="Times New Roman"/>
              </w:rPr>
              <w:t>Duragesic</w:t>
            </w:r>
            <w:proofErr w:type="spellEnd"/>
            <w:r w:rsidR="006002D6" w:rsidRPr="00A703FC">
              <w:rPr>
                <w:rFonts w:ascii="Times New Roman" w:hAnsi="Times New Roman" w:cs="Times New Roman"/>
              </w:rPr>
              <w:t>,</w:t>
            </w:r>
            <w:r w:rsidR="00030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02D6" w:rsidRPr="00A703FC">
              <w:rPr>
                <w:rFonts w:ascii="Times New Roman" w:hAnsi="Times New Roman" w:cs="Times New Roman"/>
              </w:rPr>
              <w:t>Fentora</w:t>
            </w:r>
            <w:proofErr w:type="spellEnd"/>
          </w:p>
        </w:tc>
        <w:tc>
          <w:tcPr>
            <w:tcW w:w="2435" w:type="dxa"/>
            <w:vAlign w:val="center"/>
          </w:tcPr>
          <w:p w:rsidR="005870AC" w:rsidRPr="00A703FC" w:rsidRDefault="005870AC" w:rsidP="00B069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703FC">
              <w:rPr>
                <w:rFonts w:ascii="Times New Roman" w:hAnsi="Times New Roman" w:cs="Times New Roman"/>
              </w:rPr>
              <w:t>II</w:t>
            </w:r>
          </w:p>
        </w:tc>
      </w:tr>
      <w:tr w:rsidR="005870AC" w:rsidRPr="00A703FC" w:rsidTr="005A5AB1">
        <w:trPr>
          <w:trHeight w:val="432"/>
          <w:jc w:val="center"/>
        </w:trPr>
        <w:tc>
          <w:tcPr>
            <w:tcW w:w="2875" w:type="dxa"/>
            <w:vAlign w:val="center"/>
          </w:tcPr>
          <w:p w:rsidR="005870AC" w:rsidRPr="00A703FC" w:rsidRDefault="004D3DC0" w:rsidP="00B0694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5870AC" w:rsidRPr="00A703FC">
              <w:rPr>
                <w:rFonts w:ascii="Times New Roman" w:hAnsi="Times New Roman" w:cs="Times New Roman"/>
              </w:rPr>
              <w:t>orphine</w:t>
            </w:r>
          </w:p>
        </w:tc>
        <w:tc>
          <w:tcPr>
            <w:tcW w:w="5130" w:type="dxa"/>
            <w:vAlign w:val="center"/>
          </w:tcPr>
          <w:p w:rsidR="005870AC" w:rsidRPr="00A703FC" w:rsidRDefault="006002D6" w:rsidP="00B06942">
            <w:pPr>
              <w:contextualSpacing/>
              <w:rPr>
                <w:rFonts w:ascii="Times New Roman" w:hAnsi="Times New Roman" w:cs="Times New Roman"/>
              </w:rPr>
            </w:pPr>
            <w:r w:rsidRPr="00A703FC">
              <w:rPr>
                <w:rFonts w:ascii="Times New Roman" w:hAnsi="Times New Roman" w:cs="Times New Roman"/>
              </w:rPr>
              <w:t>Over 100 brand names available worldwide</w:t>
            </w:r>
          </w:p>
        </w:tc>
        <w:tc>
          <w:tcPr>
            <w:tcW w:w="2435" w:type="dxa"/>
            <w:vAlign w:val="center"/>
          </w:tcPr>
          <w:p w:rsidR="005870AC" w:rsidRPr="00A703FC" w:rsidRDefault="005870AC" w:rsidP="00B069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703FC">
              <w:rPr>
                <w:rFonts w:ascii="Times New Roman" w:hAnsi="Times New Roman" w:cs="Times New Roman"/>
              </w:rPr>
              <w:t>II</w:t>
            </w:r>
          </w:p>
        </w:tc>
      </w:tr>
      <w:tr w:rsidR="005870AC" w:rsidRPr="00A703FC" w:rsidTr="005A5AB1">
        <w:trPr>
          <w:trHeight w:val="432"/>
          <w:jc w:val="center"/>
        </w:trPr>
        <w:tc>
          <w:tcPr>
            <w:tcW w:w="2875" w:type="dxa"/>
            <w:vAlign w:val="center"/>
          </w:tcPr>
          <w:p w:rsidR="005870AC" w:rsidRPr="00A703FC" w:rsidRDefault="004D3DC0" w:rsidP="00B0694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</w:t>
            </w:r>
            <w:r w:rsidR="005870AC" w:rsidRPr="00A703FC">
              <w:rPr>
                <w:rFonts w:ascii="Times New Roman" w:hAnsi="Times New Roman" w:cs="Times New Roman"/>
              </w:rPr>
              <w:t>utorpha</w:t>
            </w:r>
            <w:r w:rsidR="00030414">
              <w:rPr>
                <w:rFonts w:ascii="Times New Roman" w:hAnsi="Times New Roman" w:cs="Times New Roman"/>
              </w:rPr>
              <w:t>n</w:t>
            </w:r>
            <w:r w:rsidR="005870AC" w:rsidRPr="00A703FC">
              <w:rPr>
                <w:rFonts w:ascii="Times New Roman" w:hAnsi="Times New Roman" w:cs="Times New Roman"/>
              </w:rPr>
              <w:t>ol</w:t>
            </w:r>
            <w:proofErr w:type="spellEnd"/>
          </w:p>
        </w:tc>
        <w:tc>
          <w:tcPr>
            <w:tcW w:w="5130" w:type="dxa"/>
            <w:vAlign w:val="center"/>
          </w:tcPr>
          <w:p w:rsidR="005870AC" w:rsidRPr="00A703FC" w:rsidRDefault="005870AC" w:rsidP="00B0694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vAlign w:val="center"/>
          </w:tcPr>
          <w:p w:rsidR="005870AC" w:rsidRPr="00A703FC" w:rsidRDefault="004F781F" w:rsidP="00B069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703FC">
              <w:rPr>
                <w:rFonts w:ascii="Times New Roman" w:hAnsi="Times New Roman" w:cs="Times New Roman"/>
              </w:rPr>
              <w:t>IV</w:t>
            </w:r>
          </w:p>
        </w:tc>
      </w:tr>
    </w:tbl>
    <w:p w:rsidR="005870AC" w:rsidRPr="00A703FC" w:rsidRDefault="005870AC" w:rsidP="00B06942">
      <w:pPr>
        <w:contextualSpacing/>
        <w:rPr>
          <w:rFonts w:ascii="Times New Roman" w:hAnsi="Times New Roman" w:cs="Times New Roman"/>
        </w:rPr>
      </w:pPr>
    </w:p>
    <w:sectPr w:rsidR="005870AC" w:rsidRPr="00A703FC" w:rsidSect="00A703F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97F61"/>
    <w:multiLevelType w:val="hybridMultilevel"/>
    <w:tmpl w:val="F194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9C"/>
    <w:rsid w:val="00030414"/>
    <w:rsid w:val="001B6C02"/>
    <w:rsid w:val="002335DE"/>
    <w:rsid w:val="004A0D2D"/>
    <w:rsid w:val="004D3DC0"/>
    <w:rsid w:val="004F781F"/>
    <w:rsid w:val="005870AC"/>
    <w:rsid w:val="005A5AB1"/>
    <w:rsid w:val="006002D6"/>
    <w:rsid w:val="006240F6"/>
    <w:rsid w:val="007D4BB2"/>
    <w:rsid w:val="008B486A"/>
    <w:rsid w:val="00905C9C"/>
    <w:rsid w:val="009A4DCC"/>
    <w:rsid w:val="009A76D3"/>
    <w:rsid w:val="00A703FC"/>
    <w:rsid w:val="00AC53A4"/>
    <w:rsid w:val="00B06942"/>
    <w:rsid w:val="00C11C8D"/>
    <w:rsid w:val="00DF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4A260-4BB2-417F-AA82-56455D8F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Wimsatt, Jeffrey</dc:creator>
  <cp:keywords/>
  <dc:description/>
  <cp:lastModifiedBy>Underwood, Brandi</cp:lastModifiedBy>
  <cp:revision>8</cp:revision>
  <dcterms:created xsi:type="dcterms:W3CDTF">2014-10-14T12:24:00Z</dcterms:created>
  <dcterms:modified xsi:type="dcterms:W3CDTF">2014-11-13T18:20:00Z</dcterms:modified>
</cp:coreProperties>
</file>